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7C" w:rsidRPr="00DA3CF4" w:rsidRDefault="00854398">
      <w:pPr>
        <w:pStyle w:val="Heading1"/>
        <w:spacing w:before="2880" w:after="480"/>
        <w:jc w:val="center"/>
        <w:rPr>
          <w:color w:val="000000" w:themeColor="text1"/>
        </w:rPr>
      </w:pPr>
      <w:bookmarkStart w:id="0" w:name="_GoBack"/>
      <w:bookmarkEnd w:id="0"/>
      <w:r w:rsidRPr="00DA3CF4">
        <w:rPr>
          <w:color w:val="000000" w:themeColor="text1"/>
        </w:rPr>
        <w:t>COURSERA COURSE ACTIVITY REPORT</w:t>
      </w:r>
    </w:p>
    <w:p w:rsidR="00724C7C" w:rsidRPr="00DA3CF4" w:rsidRDefault="00854398">
      <w:pPr>
        <w:spacing w:after="240"/>
        <w:jc w:val="center"/>
        <w:rPr>
          <w:color w:val="000000" w:themeColor="text1"/>
        </w:rPr>
      </w:pPr>
      <w:r w:rsidRPr="00DA3CF4">
        <w:rPr>
          <w:i/>
          <w:iCs/>
          <w:color w:val="000000" w:themeColor="text1"/>
        </w:rPr>
        <w:t>Comprehensive Analysis of Course Enrollments and Performance</w:t>
      </w:r>
    </w:p>
    <w:p w:rsidR="00724C7C" w:rsidRPr="00DA3CF4" w:rsidRDefault="00854398">
      <w:pPr>
        <w:spacing w:after="1440"/>
        <w:jc w:val="center"/>
        <w:rPr>
          <w:color w:val="000000" w:themeColor="text1"/>
        </w:rPr>
      </w:pPr>
      <w:r w:rsidRPr="00DA3CF4">
        <w:rPr>
          <w:b/>
          <w:bCs/>
          <w:color w:val="000000" w:themeColor="text1"/>
          <w:sz w:val="26"/>
          <w:szCs w:val="26"/>
        </w:rPr>
        <w:t>R. V. Institute of Management</w:t>
      </w:r>
    </w:p>
    <w:p w:rsidR="00991056" w:rsidRPr="00DA3CF4" w:rsidRDefault="00991056">
      <w:pPr>
        <w:spacing w:after="2880"/>
        <w:jc w:val="center"/>
        <w:rPr>
          <w:color w:val="000000" w:themeColor="text1"/>
          <w:sz w:val="22"/>
          <w:szCs w:val="22"/>
        </w:rPr>
      </w:pPr>
    </w:p>
    <w:p w:rsidR="00DD3BD8" w:rsidRPr="00DA3CF4" w:rsidRDefault="00DD3BD8">
      <w:pPr>
        <w:pStyle w:val="Heading1"/>
        <w:rPr>
          <w:color w:val="000000" w:themeColor="text1"/>
        </w:rPr>
      </w:pPr>
    </w:p>
    <w:p w:rsidR="00DD3BD8" w:rsidRPr="00DA3CF4" w:rsidRDefault="00DD3BD8">
      <w:pPr>
        <w:pStyle w:val="Heading1"/>
        <w:rPr>
          <w:color w:val="000000" w:themeColor="text1"/>
        </w:rPr>
      </w:pPr>
    </w:p>
    <w:p w:rsidR="00DD3BD8" w:rsidRPr="00DA3CF4" w:rsidRDefault="00DD3BD8">
      <w:pPr>
        <w:pStyle w:val="Heading1"/>
        <w:rPr>
          <w:color w:val="000000" w:themeColor="text1"/>
        </w:rPr>
      </w:pPr>
    </w:p>
    <w:p w:rsidR="00DD3BD8" w:rsidRPr="00DA3CF4" w:rsidRDefault="00DD3BD8">
      <w:pPr>
        <w:pStyle w:val="Heading1"/>
        <w:rPr>
          <w:color w:val="000000" w:themeColor="text1"/>
        </w:rPr>
      </w:pPr>
    </w:p>
    <w:p w:rsidR="00DD3BD8" w:rsidRPr="00DA3CF4" w:rsidRDefault="00DD3BD8">
      <w:pPr>
        <w:pStyle w:val="Heading1"/>
        <w:rPr>
          <w:color w:val="000000" w:themeColor="text1"/>
        </w:rPr>
      </w:pPr>
    </w:p>
    <w:p w:rsidR="00724C7C" w:rsidRPr="00DA3CF4" w:rsidRDefault="00854398">
      <w:pPr>
        <w:pStyle w:val="Heading1"/>
        <w:rPr>
          <w:color w:val="000000" w:themeColor="text1"/>
        </w:rPr>
      </w:pPr>
      <w:r w:rsidRPr="00DA3CF4">
        <w:rPr>
          <w:color w:val="000000" w:themeColor="text1"/>
        </w:rPr>
        <w:lastRenderedPageBreak/>
        <w:t>Executive Summary</w:t>
      </w:r>
    </w:p>
    <w:p w:rsidR="00724C7C" w:rsidRPr="00DA3CF4" w:rsidRDefault="00854398" w:rsidP="00DD3BD8">
      <w:pPr>
        <w:spacing w:after="240"/>
        <w:jc w:val="both"/>
        <w:rPr>
          <w:color w:val="000000" w:themeColor="text1"/>
        </w:rPr>
      </w:pPr>
      <w:r w:rsidRPr="00DA3CF4">
        <w:rPr>
          <w:color w:val="000000" w:themeColor="text1"/>
        </w:rPr>
        <w:t>This report provides a comprehensive analysis of Coursera course activity data for R. V. Institute of Management. The dataset encompasses 24 course enrollments across multiple programs, primarily the Faculty Learning Program. The analysis covers enrollment patterns, completion rates, learning progress, and performance metrics.</w:t>
      </w:r>
    </w:p>
    <w:p w:rsidR="00724C7C" w:rsidRPr="00DA3CF4" w:rsidRDefault="00854398">
      <w:pPr>
        <w:pStyle w:val="Heading2"/>
        <w:rPr>
          <w:color w:val="000000" w:themeColor="text1"/>
        </w:rPr>
      </w:pPr>
      <w:r w:rsidRPr="00DA3CF4">
        <w:rPr>
          <w:color w:val="000000" w:themeColor="text1"/>
        </w:rPr>
        <w:t>Key Findings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A3CF4" w:rsidRPr="00DA3CF4">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Metric</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Value</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Total Course Enrollments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24</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Courses Completed</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3 (12.5%)</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Courses In Progress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21 (87.5%)</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Average Progress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32.81%</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Total Learning Hours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54.73 hours</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Average Course Grade</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27.47%</w:t>
            </w:r>
          </w:p>
        </w:tc>
      </w:tr>
    </w:tbl>
    <w:p w:rsidR="00724C7C" w:rsidRPr="00DA3CF4" w:rsidRDefault="00854398">
      <w:pPr>
        <w:pStyle w:val="Heading1"/>
        <w:rPr>
          <w:color w:val="000000" w:themeColor="text1"/>
        </w:rPr>
      </w:pPr>
      <w:r w:rsidRPr="00DA3CF4">
        <w:rPr>
          <w:color w:val="000000" w:themeColor="text1"/>
        </w:rPr>
        <w:t>1. Enrollment Distribution</w:t>
      </w:r>
    </w:p>
    <w:p w:rsidR="00724C7C" w:rsidRPr="00DA3CF4" w:rsidRDefault="00854398" w:rsidP="00854398">
      <w:pPr>
        <w:pStyle w:val="Heading2"/>
        <w:rPr>
          <w:color w:val="000000" w:themeColor="text1"/>
        </w:rPr>
      </w:pPr>
      <w:r w:rsidRPr="00DA3CF4">
        <w:rPr>
          <w:color w:val="000000" w:themeColor="text1"/>
        </w:rPr>
        <w:t>1.1 University Partners</w:t>
      </w:r>
    </w:p>
    <w:p w:rsidR="00724C7C" w:rsidRPr="00DA3CF4" w:rsidRDefault="00854398" w:rsidP="00DD3BD8">
      <w:pPr>
        <w:spacing w:after="240"/>
        <w:jc w:val="both"/>
        <w:rPr>
          <w:color w:val="000000" w:themeColor="text1"/>
        </w:rPr>
      </w:pPr>
      <w:r w:rsidRPr="00DA3CF4">
        <w:rPr>
          <w:color w:val="000000" w:themeColor="text1"/>
        </w:rPr>
        <w:t>The course offerings span multiple prestigious university partners and industry leaders. IBM leads with 5 course offerings, followed by multiple universities offering 2 courses each. This diversity ensures a comprehensive learning experience across various domains.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A3CF4" w:rsidRPr="00DA3CF4">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University/Provider</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Courses</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IBM</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5</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Microsoft</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University of Illinois Urbana-Champaign</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University of Michigan</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Macquarie University</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Emory University</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1</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Google</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1</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Fractal Analytics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1</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Duke University</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1</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proofErr w:type="spellStart"/>
            <w:r w:rsidRPr="00DA3CF4">
              <w:rPr>
                <w:color w:val="000000" w:themeColor="text1"/>
                <w:sz w:val="22"/>
                <w:szCs w:val="22"/>
              </w:rPr>
              <w:t>Simplilearn</w:t>
            </w:r>
            <w:proofErr w:type="spellEnd"/>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1</w:t>
            </w:r>
          </w:p>
        </w:tc>
      </w:tr>
    </w:tbl>
    <w:p w:rsidR="00724C7C" w:rsidRPr="00DA3CF4" w:rsidRDefault="00854398">
      <w:pPr>
        <w:pStyle w:val="Heading1"/>
        <w:rPr>
          <w:color w:val="000000" w:themeColor="text1"/>
        </w:rPr>
      </w:pPr>
      <w:r w:rsidRPr="00DA3CF4">
        <w:rPr>
          <w:color w:val="000000" w:themeColor="text1"/>
        </w:rPr>
        <w:lastRenderedPageBreak/>
        <w:t>2. Performance Analysis</w:t>
      </w:r>
    </w:p>
    <w:p w:rsidR="00724C7C" w:rsidRPr="00DA3CF4" w:rsidRDefault="00854398" w:rsidP="00854398">
      <w:pPr>
        <w:pStyle w:val="Heading2"/>
        <w:rPr>
          <w:color w:val="000000" w:themeColor="text1"/>
        </w:rPr>
      </w:pPr>
      <w:r w:rsidRPr="00DA3CF4">
        <w:rPr>
          <w:color w:val="000000" w:themeColor="text1"/>
        </w:rPr>
        <w:t>2.1 Progress Metrics</w:t>
      </w:r>
    </w:p>
    <w:p w:rsidR="00724C7C" w:rsidRPr="00DA3CF4" w:rsidRDefault="00854398" w:rsidP="00DD3BD8">
      <w:pPr>
        <w:spacing w:after="240"/>
        <w:jc w:val="both"/>
        <w:rPr>
          <w:color w:val="000000" w:themeColor="text1"/>
        </w:rPr>
      </w:pPr>
      <w:r w:rsidRPr="00DA3CF4">
        <w:rPr>
          <w:color w:val="000000" w:themeColor="text1"/>
        </w:rPr>
        <w:t>The average overall progress across all courses is 32.81%, with a median progress of 23.78%. This suggests that while some learners are making significant progress, many courses are in early or mid-stages of completion. The difference between mean and median indicates variability in engagement levels.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A3CF4" w:rsidRPr="00DA3CF4">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Progress Metric</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Value</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Average Progress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32.81%</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Median Progress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23.78%</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Courses with &gt;50% Progress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8 courses (33.3%)</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Courses with &lt;10% Progress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7 courses (29.2%)</w:t>
            </w:r>
          </w:p>
        </w:tc>
      </w:tr>
    </w:tbl>
    <w:p w:rsidR="00724C7C" w:rsidRPr="00DA3CF4" w:rsidRDefault="00854398">
      <w:pPr>
        <w:pStyle w:val="Heading1"/>
        <w:rPr>
          <w:color w:val="000000" w:themeColor="text1"/>
        </w:rPr>
      </w:pPr>
      <w:r w:rsidRPr="00DA3CF4">
        <w:rPr>
          <w:color w:val="000000" w:themeColor="text1"/>
        </w:rPr>
        <w:t>3. Learning Investment</w:t>
      </w:r>
    </w:p>
    <w:p w:rsidR="00724C7C" w:rsidRPr="00DA3CF4" w:rsidRDefault="00854398" w:rsidP="00DD3BD8">
      <w:pPr>
        <w:spacing w:after="240"/>
        <w:jc w:val="both"/>
        <w:rPr>
          <w:color w:val="000000" w:themeColor="text1"/>
        </w:rPr>
      </w:pPr>
      <w:r w:rsidRPr="00DA3CF4">
        <w:rPr>
          <w:color w:val="000000" w:themeColor="text1"/>
        </w:rPr>
        <w:t>The total estimated learning time across all enrolled courses is 54.73 hours. This represents the cumulative time investment required for completing all enrolled courses. On average, each course requires approximately 2.28 hours of learning time, though this varies significantly based on course complexity and subject matter.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DA3CF4" w:rsidRPr="00DA3CF4">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Learning Time Metric</w:t>
            </w:r>
          </w:p>
        </w:tc>
        <w:tc>
          <w:tcPr>
            <w:tcW w:w="4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rsidR="00724C7C" w:rsidRPr="00DA3CF4" w:rsidRDefault="00854398">
            <w:pPr>
              <w:rPr>
                <w:color w:val="000000" w:themeColor="text1"/>
              </w:rPr>
            </w:pPr>
            <w:r w:rsidRPr="00DA3CF4">
              <w:rPr>
                <w:b/>
                <w:bCs/>
                <w:color w:val="000000" w:themeColor="text1"/>
                <w:sz w:val="22"/>
                <w:szCs w:val="22"/>
              </w:rPr>
              <w:t>Hours</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Total Learning Hours (All Courses)</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54.73</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Average per Course</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2.28</w:t>
            </w:r>
          </w:p>
        </w:tc>
      </w:tr>
      <w:tr w:rsidR="00DA3CF4" w:rsidRPr="00DA3CF4">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Estimated Hours for Completion</w:t>
            </w:r>
          </w:p>
        </w:tc>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rsidR="00724C7C" w:rsidRPr="00DA3CF4" w:rsidRDefault="00854398">
            <w:pPr>
              <w:rPr>
                <w:color w:val="000000" w:themeColor="text1"/>
              </w:rPr>
            </w:pPr>
            <w:r w:rsidRPr="00DA3CF4">
              <w:rPr>
                <w:color w:val="000000" w:themeColor="text1"/>
                <w:sz w:val="22"/>
                <w:szCs w:val="22"/>
              </w:rPr>
              <w:t>37.89</w:t>
            </w:r>
          </w:p>
        </w:tc>
      </w:tr>
    </w:tbl>
    <w:p w:rsidR="00724C7C" w:rsidRPr="00DA3CF4" w:rsidRDefault="00854398">
      <w:pPr>
        <w:pStyle w:val="Heading1"/>
        <w:rPr>
          <w:color w:val="000000" w:themeColor="text1"/>
        </w:rPr>
      </w:pPr>
      <w:r w:rsidRPr="00DA3CF4">
        <w:rPr>
          <w:color w:val="000000" w:themeColor="text1"/>
        </w:rPr>
        <w:t>5. Recommendations</w:t>
      </w:r>
    </w:p>
    <w:p w:rsidR="00724C7C" w:rsidRPr="00DA3CF4" w:rsidRDefault="00854398">
      <w:pPr>
        <w:spacing w:after="180"/>
        <w:rPr>
          <w:color w:val="000000" w:themeColor="text1"/>
        </w:rPr>
      </w:pPr>
      <w:r w:rsidRPr="00DA3CF4">
        <w:rPr>
          <w:b/>
          <w:bCs/>
          <w:color w:val="000000" w:themeColor="text1"/>
        </w:rPr>
        <w:t>5.1 Improve Completion Rates</w:t>
      </w:r>
    </w:p>
    <w:p w:rsidR="00724C7C" w:rsidRPr="00DA3CF4" w:rsidRDefault="00854398" w:rsidP="00DD3BD8">
      <w:pPr>
        <w:spacing w:after="240"/>
        <w:jc w:val="both"/>
        <w:rPr>
          <w:color w:val="000000" w:themeColor="text1"/>
        </w:rPr>
      </w:pPr>
      <w:r w:rsidRPr="00DA3CF4">
        <w:rPr>
          <w:color w:val="000000" w:themeColor="text1"/>
        </w:rPr>
        <w:t>With only 12.5% completion rate, there is significant room for improvement. Consider implementing milestone tracking, peer learning groups, and regular check-ins to boost course completion.</w:t>
      </w:r>
    </w:p>
    <w:p w:rsidR="00724C7C" w:rsidRPr="00DA3CF4" w:rsidRDefault="00854398" w:rsidP="00DD3BD8">
      <w:pPr>
        <w:spacing w:after="180"/>
        <w:jc w:val="both"/>
        <w:rPr>
          <w:color w:val="000000" w:themeColor="text1"/>
        </w:rPr>
      </w:pPr>
      <w:r w:rsidRPr="00DA3CF4">
        <w:rPr>
          <w:b/>
          <w:bCs/>
          <w:color w:val="000000" w:themeColor="text1"/>
        </w:rPr>
        <w:t>5.2 Targeted Support for Low-Progress Courses</w:t>
      </w:r>
    </w:p>
    <w:p w:rsidR="00724C7C" w:rsidRPr="00DA3CF4" w:rsidRDefault="00854398" w:rsidP="00DD3BD8">
      <w:pPr>
        <w:spacing w:after="240"/>
        <w:jc w:val="both"/>
        <w:rPr>
          <w:color w:val="000000" w:themeColor="text1"/>
        </w:rPr>
      </w:pPr>
      <w:r w:rsidRPr="00DA3CF4">
        <w:rPr>
          <w:color w:val="000000" w:themeColor="text1"/>
        </w:rPr>
        <w:t>Seven courses show less than 10% progress. Identify barriers to engagement and provide targeted support, including flexible deadlines, mentorship, and technical assistance.</w:t>
      </w:r>
    </w:p>
    <w:p w:rsidR="00DD3BD8" w:rsidRPr="00DA3CF4" w:rsidRDefault="00DD3BD8" w:rsidP="00DD3BD8">
      <w:pPr>
        <w:spacing w:after="240"/>
        <w:jc w:val="both"/>
        <w:rPr>
          <w:color w:val="000000" w:themeColor="text1"/>
        </w:rPr>
      </w:pPr>
    </w:p>
    <w:p w:rsidR="00724C7C" w:rsidRPr="00DA3CF4" w:rsidRDefault="00854398" w:rsidP="00DD3BD8">
      <w:pPr>
        <w:spacing w:after="180"/>
        <w:jc w:val="both"/>
        <w:rPr>
          <w:color w:val="000000" w:themeColor="text1"/>
        </w:rPr>
      </w:pPr>
      <w:r w:rsidRPr="00DA3CF4">
        <w:rPr>
          <w:b/>
          <w:bCs/>
          <w:color w:val="000000" w:themeColor="text1"/>
        </w:rPr>
        <w:lastRenderedPageBreak/>
        <w:t>5.3 Expand Student Access</w:t>
      </w:r>
    </w:p>
    <w:p w:rsidR="00724C7C" w:rsidRPr="00DA3CF4" w:rsidRDefault="00854398" w:rsidP="00DD3BD8">
      <w:pPr>
        <w:spacing w:after="240"/>
        <w:jc w:val="both"/>
        <w:rPr>
          <w:color w:val="000000" w:themeColor="text1"/>
        </w:rPr>
      </w:pPr>
      <w:r w:rsidRPr="00DA3CF4">
        <w:rPr>
          <w:color w:val="000000" w:themeColor="text1"/>
        </w:rPr>
        <w:t>Consider expanding Coursera access to more MBA students to enhance their skill development and career readiness.</w:t>
      </w:r>
    </w:p>
    <w:p w:rsidR="00724C7C" w:rsidRPr="00DA3CF4" w:rsidRDefault="00854398" w:rsidP="00DD3BD8">
      <w:pPr>
        <w:spacing w:after="180"/>
        <w:jc w:val="both"/>
        <w:rPr>
          <w:color w:val="000000" w:themeColor="text1"/>
        </w:rPr>
      </w:pPr>
      <w:r w:rsidRPr="00DA3CF4">
        <w:rPr>
          <w:b/>
          <w:bCs/>
          <w:color w:val="000000" w:themeColor="text1"/>
        </w:rPr>
        <w:t>5.4 Recognition and Incentives</w:t>
      </w:r>
    </w:p>
    <w:p w:rsidR="00724C7C" w:rsidRPr="00DA3CF4" w:rsidRDefault="00854398" w:rsidP="00DD3BD8">
      <w:pPr>
        <w:spacing w:after="240"/>
        <w:jc w:val="both"/>
        <w:rPr>
          <w:color w:val="000000" w:themeColor="text1"/>
        </w:rPr>
      </w:pPr>
      <w:r w:rsidRPr="00DA3CF4">
        <w:rPr>
          <w:color w:val="000000" w:themeColor="text1"/>
        </w:rPr>
        <w:t>Introduce recognition mechanisms for completed courses, such as certificates of achievement, professional development credits, or performance incentives to motivate learners.</w:t>
      </w:r>
    </w:p>
    <w:p w:rsidR="00724C7C" w:rsidRPr="00DA3CF4" w:rsidRDefault="00854398" w:rsidP="00DD3BD8">
      <w:pPr>
        <w:spacing w:after="180"/>
        <w:jc w:val="both"/>
        <w:rPr>
          <w:color w:val="000000" w:themeColor="text1"/>
        </w:rPr>
      </w:pPr>
      <w:r w:rsidRPr="00DA3CF4">
        <w:rPr>
          <w:b/>
          <w:bCs/>
          <w:color w:val="000000" w:themeColor="text1"/>
        </w:rPr>
        <w:t>5.5 Data-Driven Course Selection</w:t>
      </w:r>
    </w:p>
    <w:p w:rsidR="00724C7C" w:rsidRPr="00DA3CF4" w:rsidRDefault="00854398" w:rsidP="00DD3BD8">
      <w:pPr>
        <w:spacing w:after="240"/>
        <w:jc w:val="both"/>
        <w:rPr>
          <w:color w:val="000000" w:themeColor="text1"/>
        </w:rPr>
      </w:pPr>
      <w:r w:rsidRPr="00DA3CF4">
        <w:rPr>
          <w:color w:val="000000" w:themeColor="text1"/>
        </w:rPr>
        <w:t>Analyze course popularity and completion patterns to guide future course selections. Focus on courses aligned with institutional priorities and faculty research interests.</w:t>
      </w:r>
    </w:p>
    <w:p w:rsidR="00724C7C" w:rsidRPr="00DA3CF4" w:rsidRDefault="00854398" w:rsidP="00DD3BD8">
      <w:pPr>
        <w:pStyle w:val="Heading1"/>
        <w:jc w:val="both"/>
        <w:rPr>
          <w:color w:val="000000" w:themeColor="text1"/>
        </w:rPr>
      </w:pPr>
      <w:r w:rsidRPr="00DA3CF4">
        <w:rPr>
          <w:color w:val="000000" w:themeColor="text1"/>
        </w:rPr>
        <w:t>6. Conclusion</w:t>
      </w:r>
    </w:p>
    <w:p w:rsidR="00724C7C" w:rsidRPr="00DA3CF4" w:rsidRDefault="00854398" w:rsidP="00DD3BD8">
      <w:pPr>
        <w:spacing w:after="240"/>
        <w:jc w:val="both"/>
        <w:rPr>
          <w:color w:val="000000" w:themeColor="text1"/>
        </w:rPr>
      </w:pPr>
      <w:r w:rsidRPr="00DA3CF4">
        <w:rPr>
          <w:color w:val="000000" w:themeColor="text1"/>
        </w:rPr>
        <w:t>The Coursera course activity data reveal a strong institutional commitment to faculty development through the Faculty Learning Program. While engagement levels vary, with an average progress of 32.81%, there is clear evidence of active learning across diverse subject areas from prestigious university partners.</w:t>
      </w:r>
    </w:p>
    <w:p w:rsidR="00724C7C" w:rsidRPr="00DA3CF4" w:rsidRDefault="00854398" w:rsidP="00DD3BD8">
      <w:pPr>
        <w:spacing w:after="240"/>
        <w:jc w:val="both"/>
        <w:rPr>
          <w:color w:val="000000" w:themeColor="text1"/>
        </w:rPr>
      </w:pPr>
      <w:r w:rsidRPr="00DA3CF4">
        <w:rPr>
          <w:color w:val="000000" w:themeColor="text1"/>
        </w:rPr>
        <w:t>By implementing the recommended measures—including enhanced support mechanisms, recognition systems, and broader student access—the institution can significantly improve learning outcomes and maximize the value of its Coursera partnership.</w:t>
      </w:r>
    </w:p>
    <w:p w:rsidR="00724C7C" w:rsidRPr="00DA3CF4" w:rsidRDefault="00854398" w:rsidP="00DD3BD8">
      <w:pPr>
        <w:spacing w:after="240"/>
        <w:jc w:val="both"/>
        <w:rPr>
          <w:color w:val="000000" w:themeColor="text1"/>
        </w:rPr>
      </w:pPr>
      <w:r w:rsidRPr="00DA3CF4">
        <w:rPr>
          <w:color w:val="000000" w:themeColor="text1"/>
        </w:rPr>
        <w:t>Moving forward, continued monitoring of engagement metrics, coupled with responsive program adjustments, will be essential for fostering a culture of continuous learning and professional development at R. V. Institute of Management.</w:t>
      </w:r>
    </w:p>
    <w:p w:rsidR="00DA3CF4" w:rsidRPr="00DA3CF4" w:rsidRDefault="00DA3CF4">
      <w:pPr>
        <w:spacing w:after="240"/>
        <w:jc w:val="both"/>
        <w:rPr>
          <w:color w:val="000000" w:themeColor="text1"/>
        </w:rPr>
      </w:pPr>
    </w:p>
    <w:sectPr w:rsidR="00DA3CF4" w:rsidRPr="00DA3CF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C55"/>
    <w:multiLevelType w:val="hybridMultilevel"/>
    <w:tmpl w:val="657CD826"/>
    <w:lvl w:ilvl="0" w:tplc="B6FEE298">
      <w:start w:val="1"/>
      <w:numFmt w:val="bullet"/>
      <w:lvlText w:val="●"/>
      <w:lvlJc w:val="left"/>
      <w:pPr>
        <w:ind w:left="720" w:hanging="360"/>
      </w:pPr>
    </w:lvl>
    <w:lvl w:ilvl="1" w:tplc="A0BCE94A">
      <w:start w:val="1"/>
      <w:numFmt w:val="bullet"/>
      <w:lvlText w:val="○"/>
      <w:lvlJc w:val="left"/>
      <w:pPr>
        <w:ind w:left="1440" w:hanging="360"/>
      </w:pPr>
    </w:lvl>
    <w:lvl w:ilvl="2" w:tplc="5CC8027C">
      <w:start w:val="1"/>
      <w:numFmt w:val="bullet"/>
      <w:lvlText w:val="■"/>
      <w:lvlJc w:val="left"/>
      <w:pPr>
        <w:ind w:left="2160" w:hanging="360"/>
      </w:pPr>
    </w:lvl>
    <w:lvl w:ilvl="3" w:tplc="88E8D490">
      <w:start w:val="1"/>
      <w:numFmt w:val="bullet"/>
      <w:lvlText w:val="●"/>
      <w:lvlJc w:val="left"/>
      <w:pPr>
        <w:ind w:left="2880" w:hanging="360"/>
      </w:pPr>
    </w:lvl>
    <w:lvl w:ilvl="4" w:tplc="3ED83DA0">
      <w:start w:val="1"/>
      <w:numFmt w:val="bullet"/>
      <w:lvlText w:val="○"/>
      <w:lvlJc w:val="left"/>
      <w:pPr>
        <w:ind w:left="3600" w:hanging="360"/>
      </w:pPr>
    </w:lvl>
    <w:lvl w:ilvl="5" w:tplc="6E60B31C">
      <w:start w:val="1"/>
      <w:numFmt w:val="bullet"/>
      <w:lvlText w:val="■"/>
      <w:lvlJc w:val="left"/>
      <w:pPr>
        <w:ind w:left="4320" w:hanging="360"/>
      </w:pPr>
    </w:lvl>
    <w:lvl w:ilvl="6" w:tplc="E4B0F95A">
      <w:start w:val="1"/>
      <w:numFmt w:val="bullet"/>
      <w:lvlText w:val="●"/>
      <w:lvlJc w:val="left"/>
      <w:pPr>
        <w:ind w:left="5040" w:hanging="360"/>
      </w:pPr>
    </w:lvl>
    <w:lvl w:ilvl="7" w:tplc="806C4BD4">
      <w:start w:val="1"/>
      <w:numFmt w:val="bullet"/>
      <w:lvlText w:val="●"/>
      <w:lvlJc w:val="left"/>
      <w:pPr>
        <w:ind w:left="5760" w:hanging="360"/>
      </w:pPr>
    </w:lvl>
    <w:lvl w:ilvl="8" w:tplc="8FC63CD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7C"/>
    <w:rsid w:val="00724C7C"/>
    <w:rsid w:val="00854398"/>
    <w:rsid w:val="00991056"/>
    <w:rsid w:val="00DA3CF4"/>
    <w:rsid w:val="00DD3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D9E63-D478-4247-AE63-1E1FB074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60" w:after="240"/>
      <w:outlineLvl w:val="0"/>
    </w:pPr>
    <w:rPr>
      <w:b/>
      <w:bCs/>
      <w:color w:val="1F4E78"/>
      <w:sz w:val="32"/>
      <w:szCs w:val="32"/>
    </w:rPr>
  </w:style>
  <w:style w:type="paragraph" w:styleId="Heading2">
    <w:name w:val="heading 2"/>
    <w:qFormat/>
    <w:pPr>
      <w:spacing w:before="280" w:after="180"/>
      <w:outlineLvl w:val="1"/>
    </w:pPr>
    <w:rPr>
      <w:b/>
      <w:bCs/>
      <w:color w:val="2E5C8A"/>
      <w:sz w:val="28"/>
      <w:szCs w:val="28"/>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EE66D-2708-4F52-8ED4-15A83AD9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5</cp:revision>
  <dcterms:created xsi:type="dcterms:W3CDTF">2026-02-04T06:03:00Z</dcterms:created>
  <dcterms:modified xsi:type="dcterms:W3CDTF">2026-02-04T07:34:00Z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a0a09eda-f83e-4cb1-835c-823159dee8ed</vt:lpwstr>
  </property>
</Properties>
</file>