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513" w:rsidRDefault="00D673F7">
      <w:pPr>
        <w:spacing w:before="1200" w:after="300"/>
        <w:jc w:val="center"/>
      </w:pPr>
      <w:r>
        <w:rPr>
          <w:b/>
          <w:bCs/>
          <w:color w:val="1F4788"/>
          <w:sz w:val="40"/>
          <w:szCs w:val="40"/>
        </w:rPr>
        <w:t>COURSERA OPEN ELECTIVE PROGRAM</w:t>
      </w:r>
    </w:p>
    <w:p w:rsidR="00151513" w:rsidRDefault="00D673F7">
      <w:pPr>
        <w:spacing w:after="200"/>
        <w:jc w:val="center"/>
      </w:pPr>
      <w:r>
        <w:rPr>
          <w:color w:val="2E5C9A"/>
          <w:sz w:val="32"/>
          <w:szCs w:val="32"/>
        </w:rPr>
        <w:t>Comprehensive Report</w:t>
      </w:r>
    </w:p>
    <w:p w:rsidR="00151513" w:rsidRDefault="00D673F7">
      <w:pPr>
        <w:spacing w:after="400"/>
        <w:jc w:val="center"/>
      </w:pPr>
      <w:r>
        <w:rPr>
          <w:i/>
          <w:iCs/>
          <w:sz w:val="26"/>
          <w:szCs w:val="26"/>
        </w:rPr>
        <w:t>Third Semester - Academic Year 2024</w:t>
      </w:r>
      <w:r>
        <w:rPr>
          <w:i/>
          <w:iCs/>
          <w:sz w:val="26"/>
          <w:szCs w:val="26"/>
        </w:rPr>
        <w:t>-25</w:t>
      </w:r>
    </w:p>
    <w:p w:rsidR="00151513" w:rsidRDefault="00D673F7">
      <w:pPr>
        <w:spacing w:after="800"/>
        <w:jc w:val="center"/>
      </w:pPr>
      <w:r>
        <w:rPr>
          <w:b/>
          <w:bCs/>
          <w:sz w:val="24"/>
          <w:szCs w:val="24"/>
        </w:rPr>
        <w:t>RV Institute of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8"/>
      </w:tblGrid>
      <w:tr w:rsidR="00151513">
        <w:tblPrEx>
          <w:tblCellMar>
            <w:top w:w="0" w:type="dxa"/>
            <w:bottom w:w="0" w:type="dxa"/>
          </w:tblCellMar>
        </w:tblPrEx>
        <w:tc>
          <w:tcPr>
            <w:tcW w:w="5000" w:type="pct"/>
            <w:tcBorders>
              <w:top w:val="single" w:sz="1" w:space="0" w:color="CCCCCC"/>
              <w:left w:val="single" w:sz="1" w:space="0" w:color="CCCCCC"/>
              <w:bottom w:val="single" w:sz="1" w:space="0" w:color="CCCCCC"/>
              <w:right w:val="single" w:sz="1" w:space="0" w:color="CCCCCC"/>
            </w:tcBorders>
            <w:shd w:val="clear" w:color="auto" w:fill="E8F1F8"/>
            <w:tcMar>
              <w:top w:w="300" w:type="dxa"/>
              <w:left w:w="300" w:type="dxa"/>
              <w:bottom w:w="300" w:type="dxa"/>
              <w:right w:w="300" w:type="dxa"/>
            </w:tcMar>
          </w:tcPr>
          <w:p w:rsidR="00151513" w:rsidRDefault="00D673F7">
            <w:pPr>
              <w:spacing w:after="200"/>
              <w:jc w:val="center"/>
            </w:pPr>
            <w:r>
              <w:rPr>
                <w:b/>
                <w:bCs/>
                <w:color w:val="1F4788"/>
                <w:sz w:val="28"/>
                <w:szCs w:val="28"/>
              </w:rPr>
              <w:t>PROGRAM HIGHLIGHTS</w:t>
            </w:r>
          </w:p>
          <w:p w:rsidR="00151513" w:rsidRDefault="00D673F7">
            <w:pPr>
              <w:spacing w:after="100"/>
              <w:jc w:val="center"/>
            </w:pPr>
            <w:r>
              <w:t>181 Students | 19 Faculty Mentors | 20+ Unique Courses</w:t>
            </w:r>
          </w:p>
          <w:p w:rsidR="00151513" w:rsidRDefault="00D673F7">
            <w:pPr>
              <w:jc w:val="center"/>
            </w:pPr>
            <w:r>
              <w:rPr>
                <w:b/>
                <w:bCs/>
                <w:color w:val="2E5C9A"/>
              </w:rPr>
              <w:t>87.8% Completion Rate | Average Rating: 4.66/5.0</w:t>
            </w:r>
          </w:p>
        </w:tc>
      </w:tr>
    </w:tbl>
    <w:p w:rsidR="00151513" w:rsidRDefault="00151513">
      <w:pPr>
        <w:spacing w:before="600"/>
      </w:pPr>
    </w:p>
    <w:p w:rsidR="00151513" w:rsidRDefault="00D673F7">
      <w:r>
        <w:br w:type="page"/>
      </w:r>
    </w:p>
    <w:p w:rsidR="00151513" w:rsidRDefault="00D673F7">
      <w:pPr>
        <w:pStyle w:val="Heading1"/>
      </w:pPr>
      <w:r>
        <w:lastRenderedPageBreak/>
        <w:t>1. Program Overview</w:t>
      </w:r>
    </w:p>
    <w:p w:rsidR="00151513" w:rsidRDefault="00D673F7" w:rsidP="00D673F7">
      <w:pPr>
        <w:spacing w:after="200"/>
        <w:jc w:val="both"/>
      </w:pPr>
      <w:r>
        <w:t>The Coursera Open Elective Program represents a strategic initiative by RV Institute of Management to provide students with access to world-class online learning opportunities from premier global institutions. This program enables stude</w:t>
      </w:r>
      <w:r>
        <w:t>nts to diversify their knowledge base, acquire specialized skills, and earn certifications from renowned universities and industry leaders while completing their MBA curriculum.</w:t>
      </w:r>
    </w:p>
    <w:p w:rsidR="00151513" w:rsidRDefault="00D673F7">
      <w:pPr>
        <w:pStyle w:val="Heading2"/>
      </w:pPr>
      <w:r>
        <w:t>1.1 Program Statistics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9"/>
        <w:gridCol w:w="4679"/>
      </w:tblGrid>
      <w:tr w:rsidR="00151513">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20" w:type="dxa"/>
              <w:bottom w:w="120" w:type="dxa"/>
              <w:right w:w="120" w:type="dxa"/>
            </w:tcMar>
          </w:tcPr>
          <w:p w:rsidR="00151513" w:rsidRDefault="00D673F7">
            <w:pPr>
              <w:jc w:val="center"/>
            </w:pPr>
            <w:r>
              <w:rPr>
                <w:b/>
                <w:bCs/>
                <w:color w:val="FFFFFF"/>
                <w:sz w:val="24"/>
                <w:szCs w:val="24"/>
              </w:rPr>
              <w:t>Metric</w:t>
            </w:r>
          </w:p>
        </w:tc>
        <w:tc>
          <w:tcPr>
            <w:tcW w:w="468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20" w:type="dxa"/>
              <w:bottom w:w="120" w:type="dxa"/>
              <w:right w:w="120" w:type="dxa"/>
            </w:tcMar>
          </w:tcPr>
          <w:p w:rsidR="00151513" w:rsidRDefault="00D673F7">
            <w:pPr>
              <w:jc w:val="center"/>
            </w:pPr>
            <w:r>
              <w:rPr>
                <w:b/>
                <w:bCs/>
                <w:color w:val="FFFFFF"/>
                <w:sz w:val="24"/>
                <w:szCs w:val="24"/>
              </w:rPr>
              <w:t>Value</w:t>
            </w:r>
          </w:p>
        </w:tc>
      </w:tr>
      <w:tr w:rsidR="00151513">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rPr>
                <w:b/>
                <w:bCs/>
              </w:rPr>
              <w:t>Total Student Participants</w:t>
            </w:r>
          </w:p>
        </w:t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t>181</w:t>
            </w:r>
          </w:p>
        </w:tc>
      </w:tr>
      <w:tr w:rsidR="00151513">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151513" w:rsidRDefault="00D673F7">
            <w:r>
              <w:rPr>
                <w:b/>
                <w:bCs/>
              </w:rPr>
              <w:t>Faculty Mentors</w:t>
            </w:r>
          </w:p>
        </w:tc>
        <w:tc>
          <w:tcPr>
            <w:tcW w:w="468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151513" w:rsidRDefault="00D673F7">
            <w:pPr>
              <w:jc w:val="center"/>
            </w:pPr>
            <w:r>
              <w:t>19</w:t>
            </w:r>
          </w:p>
        </w:tc>
      </w:tr>
      <w:tr w:rsidR="00151513">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rPr>
                <w:b/>
                <w:bCs/>
              </w:rPr>
              <w:t>Courses Completed</w:t>
            </w:r>
          </w:p>
        </w:t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t>65</w:t>
            </w:r>
          </w:p>
        </w:tc>
      </w:tr>
      <w:tr w:rsidR="00151513">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151513" w:rsidRDefault="00D673F7">
            <w:r>
              <w:rPr>
                <w:b/>
                <w:bCs/>
              </w:rPr>
              <w:t>Currently Enrolled</w:t>
            </w:r>
          </w:p>
        </w:tc>
        <w:tc>
          <w:tcPr>
            <w:tcW w:w="468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151513" w:rsidRDefault="00D673F7">
            <w:pPr>
              <w:jc w:val="center"/>
            </w:pPr>
            <w:r>
              <w:t>9</w:t>
            </w:r>
          </w:p>
        </w:tc>
      </w:tr>
      <w:tr w:rsidR="00151513">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rPr>
                <w:b/>
                <w:bCs/>
              </w:rPr>
              <w:t>Completion Rate</w:t>
            </w:r>
          </w:p>
        </w:t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color w:val="008000"/>
              </w:rPr>
              <w:t>87.8%</w:t>
            </w:r>
          </w:p>
        </w:tc>
      </w:tr>
      <w:tr w:rsidR="00151513">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151513" w:rsidRDefault="00D673F7">
            <w:r>
              <w:rPr>
                <w:b/>
                <w:bCs/>
              </w:rPr>
              <w:t>Average Course Rating</w:t>
            </w:r>
          </w:p>
        </w:tc>
        <w:tc>
          <w:tcPr>
            <w:tcW w:w="468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151513" w:rsidRDefault="00D673F7">
            <w:pPr>
              <w:jc w:val="center"/>
            </w:pPr>
            <w:r>
              <w:rPr>
                <w:b/>
                <w:bCs/>
                <w:color w:val="FF8C00"/>
              </w:rPr>
              <w:t>4.66/5.0</w:t>
            </w:r>
          </w:p>
        </w:tc>
      </w:tr>
      <w:tr w:rsidR="00151513">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rPr>
                <w:b/>
                <w:bCs/>
              </w:rPr>
              <w:t>Average Course Duration</w:t>
            </w:r>
          </w:p>
        </w:t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t>23.5 Hours</w:t>
            </w:r>
          </w:p>
        </w:tc>
      </w:tr>
      <w:tr w:rsidR="00151513">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151513" w:rsidRDefault="00D673F7">
            <w:r>
              <w:rPr>
                <w:b/>
                <w:bCs/>
              </w:rPr>
              <w:t>Unique Courses Offered</w:t>
            </w:r>
          </w:p>
        </w:tc>
        <w:tc>
          <w:tcPr>
            <w:tcW w:w="468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151513" w:rsidRDefault="00D673F7">
            <w:pPr>
              <w:jc w:val="center"/>
            </w:pPr>
            <w:r>
              <w:t>20+</w:t>
            </w:r>
          </w:p>
        </w:tc>
      </w:tr>
    </w:tbl>
    <w:p w:rsidR="00151513" w:rsidRDefault="00D673F7" w:rsidP="00D673F7">
      <w:pPr>
        <w:spacing w:before="250" w:after="200"/>
        <w:jc w:val="both"/>
      </w:pPr>
      <w:r>
        <w:rPr>
          <w:b/>
          <w:bCs/>
          <w:color w:val="1F4788"/>
        </w:rPr>
        <w:t xml:space="preserve">Key Observation: </w:t>
      </w:r>
      <w:r>
        <w:t>The impressive 87.8% completion rate demonstrates strong student engagement and commitment to continuous learning. The high average rating of 4.66/5.0 indicates that students are selecting high-quality courses that align with their career aspirations.</w:t>
      </w:r>
    </w:p>
    <w:p w:rsidR="00151513" w:rsidRDefault="00D673F7">
      <w:pPr>
        <w:pStyle w:val="Heading2"/>
      </w:pPr>
      <w:r>
        <w:t xml:space="preserve">1.2 </w:t>
      </w:r>
      <w:r>
        <w:t>Domain-wise Distribution</w:t>
      </w:r>
    </w:p>
    <w:p w:rsidR="00151513" w:rsidRDefault="00D673F7">
      <w:pPr>
        <w:spacing w:after="140"/>
      </w:pPr>
      <w:r>
        <w:t>Student enrollment demonstrates a clear preference for certain functional areas, reflecting both market demand and career aspirations: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39"/>
        <w:gridCol w:w="3119"/>
      </w:tblGrid>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2E5C9A"/>
            <w:tcMar>
              <w:top w:w="120" w:type="dxa"/>
              <w:left w:w="120" w:type="dxa"/>
              <w:bottom w:w="120" w:type="dxa"/>
              <w:right w:w="120" w:type="dxa"/>
            </w:tcMar>
          </w:tcPr>
          <w:p w:rsidR="00151513" w:rsidRDefault="00D673F7">
            <w:pPr>
              <w:jc w:val="center"/>
            </w:pPr>
            <w:r>
              <w:rPr>
                <w:b/>
                <w:bCs/>
                <w:color w:val="FFFFFF"/>
                <w:sz w:val="24"/>
                <w:szCs w:val="24"/>
              </w:rPr>
              <w:t>Domain</w:t>
            </w:r>
          </w:p>
        </w:tc>
        <w:tc>
          <w:tcPr>
            <w:tcW w:w="3120" w:type="dxa"/>
            <w:tcBorders>
              <w:top w:val="single" w:sz="1" w:space="0" w:color="CCCCCC"/>
              <w:left w:val="single" w:sz="1" w:space="0" w:color="CCCCCC"/>
              <w:bottom w:val="single" w:sz="1" w:space="0" w:color="CCCCCC"/>
              <w:right w:val="single" w:sz="1" w:space="0" w:color="CCCCCC"/>
            </w:tcBorders>
            <w:shd w:val="clear" w:color="auto" w:fill="2E5C9A"/>
            <w:tcMar>
              <w:top w:w="120" w:type="dxa"/>
              <w:left w:w="120" w:type="dxa"/>
              <w:bottom w:w="120" w:type="dxa"/>
              <w:right w:w="120" w:type="dxa"/>
            </w:tcMar>
          </w:tcPr>
          <w:p w:rsidR="00151513" w:rsidRDefault="00D673F7">
            <w:pPr>
              <w:jc w:val="center"/>
            </w:pPr>
            <w:r>
              <w:rPr>
                <w:b/>
                <w:bCs/>
                <w:color w:val="FFFFFF"/>
                <w:sz w:val="24"/>
                <w:szCs w:val="24"/>
              </w:rPr>
              <w:t>Students</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Finance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33</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Marketing</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17</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Business Analytics</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4</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SCM</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3</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Operations and Supply Chain</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2</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BA</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2</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Supply Chain Management</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2</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lastRenderedPageBreak/>
              <w:t>IIM Ahmedabad</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1</w:t>
            </w:r>
          </w:p>
        </w:tc>
      </w:tr>
    </w:tbl>
    <w:p w:rsidR="00151513" w:rsidRDefault="00D673F7" w:rsidP="00D673F7">
      <w:pPr>
        <w:spacing w:before="200"/>
        <w:jc w:val="both"/>
      </w:pPr>
      <w:r>
        <w:rPr>
          <w:b/>
          <w:bCs/>
          <w:color w:val="1F4788"/>
        </w:rPr>
        <w:t xml:space="preserve">Analysis: </w:t>
      </w:r>
      <w:r>
        <w:t>Finance emerges as the dominant area of interest with 33 students, followed by Marketing (17 students) and Business Analytics (4 students). This distribution reflects current industry trends emphasizing financial acumen, digital marketing capabilities, and</w:t>
      </w:r>
      <w:r>
        <w:t xml:space="preserve"> data-driven decision making.</w:t>
      </w:r>
    </w:p>
    <w:p w:rsidR="00151513" w:rsidRDefault="00D673F7">
      <w:r>
        <w:br w:type="page"/>
      </w:r>
    </w:p>
    <w:p w:rsidR="00151513" w:rsidRDefault="00D673F7">
      <w:pPr>
        <w:pStyle w:val="Heading1"/>
      </w:pPr>
      <w:r>
        <w:lastRenderedPageBreak/>
        <w:t>2. Partner Institutions and Course Portfolio</w:t>
      </w:r>
    </w:p>
    <w:p w:rsidR="00151513" w:rsidRDefault="00D673F7">
      <w:pPr>
        <w:pStyle w:val="Heading2"/>
      </w:pPr>
      <w:r>
        <w:t>2.1 Top Partner Institutions</w:t>
      </w:r>
    </w:p>
    <w:p w:rsidR="00151513" w:rsidRDefault="00D673F7">
      <w:pPr>
        <w:spacing w:after="140"/>
      </w:pPr>
      <w:r>
        <w:t xml:space="preserve">The program features </w:t>
      </w:r>
      <w:proofErr w:type="gramStart"/>
      <w:r>
        <w:t>courses</w:t>
      </w:r>
      <w:proofErr w:type="gramEnd"/>
      <w:r>
        <w:t xml:space="preserve"> from world-renowned institutions, providing students with global perspectives and internationally recognized certificatio</w:t>
      </w:r>
      <w:r>
        <w:t>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38"/>
        <w:gridCol w:w="3120"/>
      </w:tblGrid>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20" w:type="dxa"/>
              <w:bottom w:w="120" w:type="dxa"/>
              <w:right w:w="120" w:type="dxa"/>
            </w:tcMar>
          </w:tcPr>
          <w:p w:rsidR="00151513" w:rsidRDefault="00D673F7">
            <w:pPr>
              <w:jc w:val="center"/>
            </w:pPr>
            <w:r>
              <w:rPr>
                <w:b/>
                <w:bCs/>
                <w:color w:val="FFFFFF"/>
                <w:sz w:val="24"/>
                <w:szCs w:val="24"/>
              </w:rPr>
              <w:t>Institution</w:t>
            </w:r>
          </w:p>
        </w:tc>
        <w:tc>
          <w:tcPr>
            <w:tcW w:w="312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20" w:type="dxa"/>
              <w:bottom w:w="120" w:type="dxa"/>
              <w:right w:w="120" w:type="dxa"/>
            </w:tcMar>
          </w:tcPr>
          <w:p w:rsidR="00151513" w:rsidRDefault="00D673F7">
            <w:pPr>
              <w:jc w:val="center"/>
            </w:pPr>
            <w:r>
              <w:rPr>
                <w:b/>
                <w:bCs/>
                <w:color w:val="FFFFFF"/>
                <w:sz w:val="24"/>
                <w:szCs w:val="24"/>
              </w:rPr>
              <w:t>Enrollments</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Columbia University</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19</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University of Michigan</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15</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Yale University</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10</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Unilever</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7</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Salesforce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6</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Copenhagen Business School</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5</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FIA Business School</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5</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Google</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4</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roofErr w:type="spellStart"/>
            <w:r>
              <w:t>Fundação</w:t>
            </w:r>
            <w:proofErr w:type="spellEnd"/>
            <w:r>
              <w:t xml:space="preserve"> </w:t>
            </w:r>
            <w:proofErr w:type="spellStart"/>
            <w:r>
              <w:t>Instituto</w:t>
            </w:r>
            <w:proofErr w:type="spellEnd"/>
            <w:r>
              <w:t xml:space="preserve"> de </w:t>
            </w:r>
            <w:proofErr w:type="spellStart"/>
            <w:r>
              <w:t>Administração</w:t>
            </w:r>
            <w:proofErr w:type="spellEnd"/>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4</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Meta</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4</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Illinois</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3</w:t>
            </w:r>
          </w:p>
        </w:tc>
      </w:tr>
      <w:tr w:rsidR="00151513">
        <w:tblPrEx>
          <w:tblCellMar>
            <w:top w:w="0" w:type="dxa"/>
            <w:bottom w:w="0" w:type="dxa"/>
          </w:tblCellMar>
        </w:tblPrEx>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Northeastern University</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3</w:t>
            </w:r>
          </w:p>
        </w:tc>
      </w:tr>
    </w:tbl>
    <w:p w:rsidR="00151513" w:rsidRDefault="00D673F7" w:rsidP="00D673F7">
      <w:pPr>
        <w:spacing w:before="250" w:after="140"/>
        <w:jc w:val="both"/>
      </w:pPr>
      <w:r>
        <w:rPr>
          <w:b/>
          <w:bCs/>
          <w:color w:val="1F4788"/>
        </w:rPr>
        <w:t xml:space="preserve">Institutional Diversity: </w:t>
      </w:r>
      <w:r>
        <w:t>The program showcases courses from prestigious Ivy League universities (Columbia, Yale), leading public research institutions (University of Michigan, Illinois), renowned business schools (Copenhagen Business School, FIA Business School), and industry gian</w:t>
      </w:r>
      <w:r>
        <w:t>ts (Google, Meta, Salesforce, Unilever), ensuring students receive both academic rigor and practical industry insights.</w:t>
      </w:r>
    </w:p>
    <w:p w:rsidR="00151513" w:rsidRDefault="00D673F7">
      <w:pPr>
        <w:pStyle w:val="Heading2"/>
      </w:pPr>
      <w:r>
        <w:t>2.2 Most Popular Courses</w:t>
      </w:r>
    </w:p>
    <w:p w:rsidR="00151513" w:rsidRDefault="00D673F7">
      <w:pPr>
        <w:spacing w:after="140"/>
      </w:pPr>
      <w:r>
        <w:t>Student course selections reveal strong preferences for finance and business fundamentals: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8"/>
        <w:gridCol w:w="1880"/>
      </w:tblGrid>
      <w:tr w:rsidR="00151513">
        <w:tblPrEx>
          <w:tblCellMar>
            <w:top w:w="0" w:type="dxa"/>
            <w:bottom w:w="0" w:type="dxa"/>
          </w:tblCellMar>
        </w:tblPrEx>
        <w:tc>
          <w:tcPr>
            <w:tcW w:w="7480" w:type="dxa"/>
            <w:tcBorders>
              <w:top w:val="single" w:sz="1" w:space="0" w:color="CCCCCC"/>
              <w:left w:val="single" w:sz="1" w:space="0" w:color="CCCCCC"/>
              <w:bottom w:val="single" w:sz="1" w:space="0" w:color="CCCCCC"/>
              <w:right w:val="single" w:sz="1" w:space="0" w:color="CCCCCC"/>
            </w:tcBorders>
            <w:shd w:val="clear" w:color="auto" w:fill="2E5C9A"/>
            <w:tcMar>
              <w:top w:w="120" w:type="dxa"/>
              <w:left w:w="120" w:type="dxa"/>
              <w:bottom w:w="120" w:type="dxa"/>
              <w:right w:w="120" w:type="dxa"/>
            </w:tcMar>
          </w:tcPr>
          <w:p w:rsidR="00151513" w:rsidRDefault="00D673F7">
            <w:pPr>
              <w:jc w:val="center"/>
            </w:pPr>
            <w:r>
              <w:rPr>
                <w:b/>
                <w:bCs/>
                <w:color w:val="FFFFFF"/>
                <w:sz w:val="24"/>
                <w:szCs w:val="24"/>
              </w:rPr>
              <w:t>Course Title</w:t>
            </w:r>
          </w:p>
        </w:tc>
        <w:tc>
          <w:tcPr>
            <w:tcW w:w="1880" w:type="dxa"/>
            <w:tcBorders>
              <w:top w:val="single" w:sz="1" w:space="0" w:color="CCCCCC"/>
              <w:left w:val="single" w:sz="1" w:space="0" w:color="CCCCCC"/>
              <w:bottom w:val="single" w:sz="1" w:space="0" w:color="CCCCCC"/>
              <w:right w:val="single" w:sz="1" w:space="0" w:color="CCCCCC"/>
            </w:tcBorders>
            <w:shd w:val="clear" w:color="auto" w:fill="2E5C9A"/>
            <w:tcMar>
              <w:top w:w="120" w:type="dxa"/>
              <w:left w:w="120" w:type="dxa"/>
              <w:bottom w:w="120" w:type="dxa"/>
              <w:right w:w="120" w:type="dxa"/>
            </w:tcMar>
          </w:tcPr>
          <w:p w:rsidR="00151513" w:rsidRDefault="00D673F7">
            <w:pPr>
              <w:jc w:val="center"/>
            </w:pPr>
            <w:r>
              <w:rPr>
                <w:b/>
                <w:bCs/>
                <w:color w:val="FFFFFF"/>
                <w:sz w:val="24"/>
                <w:szCs w:val="24"/>
              </w:rPr>
              <w:t>Student</w:t>
            </w:r>
            <w:r>
              <w:rPr>
                <w:b/>
                <w:bCs/>
                <w:color w:val="FFFFFF"/>
                <w:sz w:val="24"/>
                <w:szCs w:val="24"/>
              </w:rPr>
              <w:t>s</w:t>
            </w:r>
          </w:p>
        </w:tc>
      </w:tr>
      <w:tr w:rsidR="00151513">
        <w:tblPrEx>
          <w:tblCellMar>
            <w:top w:w="0" w:type="dxa"/>
            <w:bottom w:w="0" w:type="dxa"/>
          </w:tblCellMar>
        </w:tblPrEx>
        <w:tc>
          <w:tcPr>
            <w:tcW w:w="74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Construction Finance</w:t>
            </w:r>
          </w:p>
        </w:tc>
        <w:tc>
          <w:tcPr>
            <w:tcW w:w="18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20</w:t>
            </w:r>
          </w:p>
        </w:tc>
      </w:tr>
      <w:tr w:rsidR="00151513">
        <w:tblPrEx>
          <w:tblCellMar>
            <w:top w:w="0" w:type="dxa"/>
            <w:bottom w:w="0" w:type="dxa"/>
          </w:tblCellMar>
        </w:tblPrEx>
        <w:tc>
          <w:tcPr>
            <w:tcW w:w="74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Sales and CRM Overview</w:t>
            </w:r>
          </w:p>
        </w:tc>
        <w:tc>
          <w:tcPr>
            <w:tcW w:w="18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14</w:t>
            </w:r>
          </w:p>
        </w:tc>
      </w:tr>
      <w:tr w:rsidR="00151513">
        <w:tblPrEx>
          <w:tblCellMar>
            <w:top w:w="0" w:type="dxa"/>
            <w:bottom w:w="0" w:type="dxa"/>
          </w:tblCellMar>
        </w:tblPrEx>
        <w:tc>
          <w:tcPr>
            <w:tcW w:w="74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Financial Markets</w:t>
            </w:r>
          </w:p>
        </w:tc>
        <w:tc>
          <w:tcPr>
            <w:tcW w:w="18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12</w:t>
            </w:r>
          </w:p>
        </w:tc>
      </w:tr>
      <w:tr w:rsidR="00151513">
        <w:tblPrEx>
          <w:tblCellMar>
            <w:top w:w="0" w:type="dxa"/>
            <w:bottom w:w="0" w:type="dxa"/>
          </w:tblCellMar>
        </w:tblPrEx>
        <w:tc>
          <w:tcPr>
            <w:tcW w:w="74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Accounting for Decision Making</w:t>
            </w:r>
          </w:p>
        </w:tc>
        <w:tc>
          <w:tcPr>
            <w:tcW w:w="18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8</w:t>
            </w:r>
          </w:p>
        </w:tc>
      </w:tr>
      <w:tr w:rsidR="00151513">
        <w:tblPrEx>
          <w:tblCellMar>
            <w:top w:w="0" w:type="dxa"/>
            <w:bottom w:w="0" w:type="dxa"/>
          </w:tblCellMar>
        </w:tblPrEx>
        <w:tc>
          <w:tcPr>
            <w:tcW w:w="74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Global Supply Chain Management</w:t>
            </w:r>
          </w:p>
        </w:tc>
        <w:tc>
          <w:tcPr>
            <w:tcW w:w="18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7</w:t>
            </w:r>
          </w:p>
        </w:tc>
      </w:tr>
      <w:tr w:rsidR="00151513">
        <w:tblPrEx>
          <w:tblCellMar>
            <w:top w:w="0" w:type="dxa"/>
            <w:bottom w:w="0" w:type="dxa"/>
          </w:tblCellMar>
        </w:tblPrEx>
        <w:tc>
          <w:tcPr>
            <w:tcW w:w="74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lastRenderedPageBreak/>
              <w:t>Accounting for decision making</w:t>
            </w:r>
          </w:p>
        </w:tc>
        <w:tc>
          <w:tcPr>
            <w:tcW w:w="18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6</w:t>
            </w:r>
          </w:p>
        </w:tc>
      </w:tr>
      <w:tr w:rsidR="00151513">
        <w:tblPrEx>
          <w:tblCellMar>
            <w:top w:w="0" w:type="dxa"/>
            <w:bottom w:w="0" w:type="dxa"/>
          </w:tblCellMar>
        </w:tblPrEx>
        <w:tc>
          <w:tcPr>
            <w:tcW w:w="74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Risk, Return and Valuation</w:t>
            </w:r>
          </w:p>
        </w:tc>
        <w:tc>
          <w:tcPr>
            <w:tcW w:w="18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4</w:t>
            </w:r>
          </w:p>
        </w:tc>
      </w:tr>
      <w:tr w:rsidR="00151513">
        <w:tblPrEx>
          <w:tblCellMar>
            <w:top w:w="0" w:type="dxa"/>
            <w:bottom w:w="0" w:type="dxa"/>
          </w:tblCellMar>
        </w:tblPrEx>
        <w:tc>
          <w:tcPr>
            <w:tcW w:w="74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Customer Data Analytics for Marketers</w:t>
            </w:r>
          </w:p>
        </w:tc>
        <w:tc>
          <w:tcPr>
            <w:tcW w:w="18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3</w:t>
            </w:r>
          </w:p>
        </w:tc>
      </w:tr>
      <w:tr w:rsidR="00151513">
        <w:tblPrEx>
          <w:tblCellMar>
            <w:top w:w="0" w:type="dxa"/>
            <w:bottom w:w="0" w:type="dxa"/>
          </w:tblCellMar>
        </w:tblPrEx>
        <w:tc>
          <w:tcPr>
            <w:tcW w:w="74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r>
              <w:t>construction Finance</w:t>
            </w:r>
          </w:p>
        </w:tc>
        <w:tc>
          <w:tcPr>
            <w:tcW w:w="18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20" w:type="dxa"/>
              <w:bottom w:w="100" w:type="dxa"/>
              <w:right w:w="120" w:type="dxa"/>
            </w:tcMar>
          </w:tcPr>
          <w:p w:rsidR="00151513" w:rsidRDefault="00D673F7">
            <w:pPr>
              <w:jc w:val="center"/>
            </w:pPr>
            <w:r>
              <w:rPr>
                <w:b/>
                <w:bCs/>
              </w:rPr>
              <w:t>3</w:t>
            </w:r>
          </w:p>
        </w:tc>
      </w:tr>
      <w:tr w:rsidR="00151513">
        <w:tblPrEx>
          <w:tblCellMar>
            <w:top w:w="0" w:type="dxa"/>
            <w:bottom w:w="0" w:type="dxa"/>
          </w:tblCellMar>
        </w:tblPrEx>
        <w:tc>
          <w:tcPr>
            <w:tcW w:w="74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r>
              <w:t>Intro to Managing Healthcare Supply Chain Operations</w:t>
            </w:r>
          </w:p>
        </w:tc>
        <w:tc>
          <w:tcPr>
            <w:tcW w:w="18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rsidR="00151513" w:rsidRDefault="00D673F7">
            <w:pPr>
              <w:jc w:val="center"/>
            </w:pPr>
            <w:r>
              <w:rPr>
                <w:b/>
                <w:bCs/>
              </w:rPr>
              <w:t>3</w:t>
            </w:r>
          </w:p>
        </w:tc>
      </w:tr>
    </w:tbl>
    <w:p w:rsidR="00151513" w:rsidRDefault="00D673F7" w:rsidP="00D673F7">
      <w:pPr>
        <w:spacing w:before="200"/>
        <w:jc w:val="both"/>
      </w:pPr>
      <w:r>
        <w:rPr>
          <w:b/>
          <w:bCs/>
          <w:color w:val="1F4788"/>
        </w:rPr>
        <w:t xml:space="preserve">Course Popularity Insights: </w:t>
      </w:r>
      <w:r>
        <w:t>Construction Finance (20 students) leads the enrollment, followed by Sales and CRM Overview (14 students) and Financial Markets (12 students). This distribution indicates strong student interest in specialized finance topics and customer relationship manag</w:t>
      </w:r>
      <w:r>
        <w:t>ement—both critical skills for modern business professionals.</w:t>
      </w:r>
    </w:p>
    <w:p w:rsidR="00151513" w:rsidRDefault="00D673F7">
      <w:r>
        <w:br w:type="page"/>
      </w:r>
    </w:p>
    <w:p w:rsidR="00151513" w:rsidRDefault="00D673F7">
      <w:pPr>
        <w:pStyle w:val="Heading1"/>
      </w:pPr>
      <w:r>
        <w:lastRenderedPageBreak/>
        <w:t>3. Faculty Mentorship Framework</w:t>
      </w:r>
    </w:p>
    <w:p w:rsidR="00151513" w:rsidRDefault="00D673F7">
      <w:pPr>
        <w:spacing w:after="200"/>
      </w:pPr>
      <w:r>
        <w:t xml:space="preserve">The success of the Coursera Open Elective Program is significantly attributed to the dedicated mentorship provided by RVIM faculty members. Each faculty mentor </w:t>
      </w:r>
      <w:r>
        <w:t>guides an average of 9-10 students through their learning journey, providing academic support, motivation, and ensuring timely course completion.</w:t>
      </w:r>
    </w:p>
    <w:p w:rsidR="00151513" w:rsidRDefault="00D673F7">
      <w:pPr>
        <w:pStyle w:val="Heading2"/>
      </w:pPr>
      <w:r>
        <w:t>3.1 Top Performing Faculty Mentors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98"/>
        <w:gridCol w:w="1720"/>
        <w:gridCol w:w="1720"/>
        <w:gridCol w:w="1720"/>
      </w:tblGrid>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00" w:type="dxa"/>
              <w:bottom w:w="120" w:type="dxa"/>
              <w:right w:w="100" w:type="dxa"/>
            </w:tcMar>
          </w:tcPr>
          <w:p w:rsidR="00151513" w:rsidRDefault="00D673F7">
            <w:pPr>
              <w:jc w:val="center"/>
            </w:pPr>
            <w:r>
              <w:rPr>
                <w:b/>
                <w:bCs/>
                <w:color w:val="FFFFFF"/>
              </w:rPr>
              <w:t>Faculty Mentor</w:t>
            </w:r>
          </w:p>
        </w:tc>
        <w:tc>
          <w:tcPr>
            <w:tcW w:w="172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00" w:type="dxa"/>
              <w:bottom w:w="120" w:type="dxa"/>
              <w:right w:w="100" w:type="dxa"/>
            </w:tcMar>
          </w:tcPr>
          <w:p w:rsidR="00151513" w:rsidRDefault="00D673F7">
            <w:pPr>
              <w:jc w:val="center"/>
            </w:pPr>
            <w:r>
              <w:rPr>
                <w:b/>
                <w:bCs/>
                <w:color w:val="FFFFFF"/>
              </w:rPr>
              <w:t>Students</w:t>
            </w:r>
          </w:p>
        </w:tc>
        <w:tc>
          <w:tcPr>
            <w:tcW w:w="172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00" w:type="dxa"/>
              <w:bottom w:w="120" w:type="dxa"/>
              <w:right w:w="100" w:type="dxa"/>
            </w:tcMar>
          </w:tcPr>
          <w:p w:rsidR="00151513" w:rsidRDefault="00D673F7">
            <w:pPr>
              <w:jc w:val="center"/>
            </w:pPr>
            <w:r>
              <w:rPr>
                <w:b/>
                <w:bCs/>
                <w:color w:val="FFFFFF"/>
              </w:rPr>
              <w:t>Completed</w:t>
            </w:r>
          </w:p>
        </w:tc>
        <w:tc>
          <w:tcPr>
            <w:tcW w:w="172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00" w:type="dxa"/>
              <w:bottom w:w="120" w:type="dxa"/>
              <w:right w:w="100" w:type="dxa"/>
            </w:tcMar>
          </w:tcPr>
          <w:p w:rsidR="00151513" w:rsidRDefault="00D673F7">
            <w:pPr>
              <w:jc w:val="center"/>
            </w:pPr>
            <w:r>
              <w:rPr>
                <w:b/>
                <w:bCs/>
                <w:color w:val="FFFFFF"/>
              </w:rPr>
              <w:t>Rate</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roofErr w:type="spellStart"/>
            <w:r>
              <w:t>Dr.Noor</w:t>
            </w:r>
            <w:proofErr w:type="spellEnd"/>
            <w:r>
              <w:t xml:space="preserve"> </w:t>
            </w:r>
            <w:proofErr w:type="spellStart"/>
            <w:r>
              <w:t>Firdoos</w:t>
            </w:r>
            <w:proofErr w:type="spellEnd"/>
            <w:r>
              <w:t xml:space="preserve"> Jahan</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3</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rPr>
                <w:color w:val="000000"/>
              </w:rPr>
              <w:t>30%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roofErr w:type="spellStart"/>
            <w:r>
              <w:t>Dr.Anupama</w:t>
            </w:r>
            <w:proofErr w:type="spellEnd"/>
            <w:r>
              <w:t xml:space="preserve"> </w:t>
            </w:r>
            <w:proofErr w:type="spellStart"/>
            <w:r>
              <w:t>Malagi</w:t>
            </w:r>
            <w:proofErr w:type="spellEnd"/>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0</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rPr>
                <w:color w:val="000000"/>
              </w:rPr>
              <w:t>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roofErr w:type="spellStart"/>
            <w:r>
              <w:t>Dr.Tamizharsi</w:t>
            </w:r>
            <w:proofErr w:type="spellEnd"/>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7</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rPr>
                <w:color w:val="000000"/>
              </w:rPr>
              <w:t>70%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roofErr w:type="spellStart"/>
            <w:r>
              <w:t>Dr.Santosh.M</w:t>
            </w:r>
            <w:proofErr w:type="spellEnd"/>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0</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rPr>
                <w:color w:val="000000"/>
              </w:rPr>
              <w:t>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roofErr w:type="spellStart"/>
            <w:r>
              <w:t>Dr.Jahnavi</w:t>
            </w:r>
            <w:proofErr w:type="spellEnd"/>
            <w:r>
              <w:t xml:space="preserve"> M</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0</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rPr>
                <w:color w:val="000000"/>
              </w:rPr>
              <w:t>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roofErr w:type="spellStart"/>
            <w:r>
              <w:t>Dr.Krithika</w:t>
            </w:r>
            <w:proofErr w:type="spellEnd"/>
            <w:r>
              <w:t xml:space="preserve"> J</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1</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rPr>
                <w:color w:val="000000"/>
              </w:rPr>
              <w:t>10%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roofErr w:type="spellStart"/>
            <w:r>
              <w:t>Dr.Rashmi</w:t>
            </w:r>
            <w:proofErr w:type="spellEnd"/>
            <w:r>
              <w:t xml:space="preserve"> Shetty</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9</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rPr>
                <w:b/>
                <w:bCs/>
                <w:color w:val="008000"/>
              </w:rPr>
              <w:t>90%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roofErr w:type="spellStart"/>
            <w:r>
              <w:t>Dr.Vinay</w:t>
            </w:r>
            <w:proofErr w:type="spellEnd"/>
            <w:r>
              <w:t xml:space="preserve"> KS</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9</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rPr>
                <w:b/>
                <w:bCs/>
                <w:color w:val="008000"/>
              </w:rPr>
              <w:t>90%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roofErr w:type="spellStart"/>
            <w:r>
              <w:t>Prof.NagaSubba</w:t>
            </w:r>
            <w:proofErr w:type="spellEnd"/>
            <w:r>
              <w:t xml:space="preserve"> Reddy</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rPr>
                <w:b/>
                <w:bCs/>
                <w:color w:val="008000"/>
              </w:rPr>
              <w:t>100%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roofErr w:type="spellStart"/>
            <w:r>
              <w:t>Prof.Shoiab</w:t>
            </w:r>
            <w:proofErr w:type="spellEnd"/>
            <w:r>
              <w:t xml:space="preserve"> Khan</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9</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rPr>
                <w:b/>
                <w:bCs/>
                <w:color w:val="008000"/>
              </w:rPr>
              <w:t>90%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roofErr w:type="spellStart"/>
            <w:r>
              <w:t>Dr.Srikanth</w:t>
            </w:r>
            <w:proofErr w:type="spellEnd"/>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10</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0</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rPr>
                <w:color w:val="000000"/>
              </w:rPr>
              <w:t>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r>
              <w:t>Dr.Sumera A</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9</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0</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rPr>
                <w:color w:val="000000"/>
              </w:rPr>
              <w:t>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roofErr w:type="spellStart"/>
            <w:r>
              <w:t>Prof.Anitha</w:t>
            </w:r>
            <w:proofErr w:type="spellEnd"/>
            <w:r>
              <w:t xml:space="preserve"> BM </w:t>
            </w:r>
            <w:proofErr w:type="spellStart"/>
            <w:r>
              <w:t>DSilva</w:t>
            </w:r>
            <w:proofErr w:type="spellEnd"/>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9</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0</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rPr>
                <w:color w:val="000000"/>
              </w:rPr>
              <w:t>0%</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roofErr w:type="spellStart"/>
            <w:r>
              <w:t>Prof.Sowmya</w:t>
            </w:r>
            <w:proofErr w:type="spellEnd"/>
            <w:r>
              <w:t xml:space="preserve"> D S</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9</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t>1</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rsidR="00151513" w:rsidRDefault="00D673F7">
            <w:pPr>
              <w:jc w:val="center"/>
            </w:pPr>
            <w:r>
              <w:rPr>
                <w:color w:val="000000"/>
              </w:rPr>
              <w:t>11%</w:t>
            </w:r>
          </w:p>
        </w:tc>
      </w:tr>
      <w:tr w:rsidR="00151513">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roofErr w:type="spellStart"/>
            <w:r>
              <w:t>Prof.Uma</w:t>
            </w:r>
            <w:proofErr w:type="spellEnd"/>
            <w:r>
              <w:t xml:space="preserve"> Sharma</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9</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t>7</w:t>
            </w:r>
          </w:p>
        </w:tc>
        <w:tc>
          <w:tcPr>
            <w:tcW w:w="1720" w:type="dxa"/>
            <w:tcBorders>
              <w:top w:val="single" w:sz="1" w:space="0" w:color="CCCCCC"/>
              <w:left w:val="single" w:sz="1" w:space="0" w:color="CCCCCC"/>
              <w:bottom w:val="single" w:sz="1" w:space="0" w:color="CCCCCC"/>
              <w:right w:val="single" w:sz="1" w:space="0" w:color="CCCCCC"/>
            </w:tcBorders>
            <w:shd w:val="clear" w:color="auto" w:fill="F5F5F5"/>
            <w:tcMar>
              <w:top w:w="90" w:type="dxa"/>
              <w:left w:w="100" w:type="dxa"/>
              <w:bottom w:w="90" w:type="dxa"/>
              <w:right w:w="100" w:type="dxa"/>
            </w:tcMar>
          </w:tcPr>
          <w:p w:rsidR="00151513" w:rsidRDefault="00D673F7">
            <w:pPr>
              <w:jc w:val="center"/>
            </w:pPr>
            <w:r>
              <w:rPr>
                <w:color w:val="000000"/>
              </w:rPr>
              <w:t>78%</w:t>
            </w:r>
          </w:p>
        </w:tc>
      </w:tr>
    </w:tbl>
    <w:p w:rsidR="00151513" w:rsidRDefault="00D673F7">
      <w:pPr>
        <w:spacing w:before="250" w:after="200"/>
      </w:pPr>
      <w:r>
        <w:rPr>
          <w:b/>
          <w:bCs/>
          <w:color w:val="1F4788"/>
        </w:rPr>
        <w:t xml:space="preserve">Outstanding Performance: </w:t>
      </w:r>
      <w:r>
        <w:t xml:space="preserve">Prof. </w:t>
      </w:r>
      <w:proofErr w:type="spellStart"/>
      <w:r>
        <w:t>NagaSubba</w:t>
      </w:r>
      <w:proofErr w:type="spellEnd"/>
      <w:r>
        <w:t xml:space="preserve"> Reddy achieved a remarkable 100% completion rate with all 10 mentees successfully completing their courses. Dr. </w:t>
      </w:r>
      <w:proofErr w:type="spellStart"/>
      <w:r>
        <w:t>Rashmi</w:t>
      </w:r>
      <w:proofErr w:type="spellEnd"/>
      <w:r>
        <w:t xml:space="preserve"> Shetty, Dr. Vinay KS, and Prof. </w:t>
      </w:r>
      <w:proofErr w:type="spellStart"/>
      <w:r>
        <w:t>Shoiab</w:t>
      </w:r>
      <w:proofErr w:type="spellEnd"/>
      <w:r>
        <w:t xml:space="preserve"> Khan also demonstrated exceptional mentorship with 90% completion rates.</w:t>
      </w:r>
    </w:p>
    <w:p w:rsidR="00151513" w:rsidRDefault="00D673F7">
      <w:pPr>
        <w:pStyle w:val="Heading2"/>
      </w:pPr>
      <w:r>
        <w:t>3.2 Mento</w:t>
      </w:r>
      <w:r>
        <w:t>rship Model</w:t>
      </w:r>
    </w:p>
    <w:p w:rsidR="00151513" w:rsidRDefault="00D673F7">
      <w:pPr>
        <w:spacing w:after="120"/>
      </w:pPr>
      <w:r>
        <w:t>The faculty mentorship model encompasses several key responsibilities:</w:t>
      </w:r>
    </w:p>
    <w:p w:rsidR="00151513" w:rsidRDefault="00D673F7">
      <w:pPr>
        <w:pStyle w:val="ListParagraph"/>
        <w:numPr>
          <w:ilvl w:val="0"/>
          <w:numId w:val="2"/>
        </w:numPr>
      </w:pPr>
      <w:r>
        <w:t>Course Selection Guidance: Helping students identify courses aligned with their career goals and specialization areas</w:t>
      </w:r>
    </w:p>
    <w:p w:rsidR="00151513" w:rsidRDefault="00D673F7">
      <w:pPr>
        <w:pStyle w:val="ListParagraph"/>
        <w:numPr>
          <w:ilvl w:val="0"/>
          <w:numId w:val="2"/>
        </w:numPr>
      </w:pPr>
      <w:r>
        <w:t>Progress Monitoring: Regular check-ins to ensure studen</w:t>
      </w:r>
      <w:r>
        <w:t>ts stay on track with course timelines and learning objectives</w:t>
      </w:r>
    </w:p>
    <w:p w:rsidR="00151513" w:rsidRDefault="00D673F7">
      <w:pPr>
        <w:pStyle w:val="ListParagraph"/>
        <w:numPr>
          <w:ilvl w:val="0"/>
          <w:numId w:val="2"/>
        </w:numPr>
      </w:pPr>
      <w:r>
        <w:lastRenderedPageBreak/>
        <w:t>Academic Support: Providing clarifications on course content and connecting concepts to MBA curriculum</w:t>
      </w:r>
    </w:p>
    <w:p w:rsidR="00151513" w:rsidRDefault="00D673F7">
      <w:pPr>
        <w:pStyle w:val="ListParagraph"/>
        <w:numPr>
          <w:ilvl w:val="0"/>
          <w:numId w:val="2"/>
        </w:numPr>
      </w:pPr>
      <w:r>
        <w:t>Motivation and Accountability: Encouraging consistent effort and timely completion of cour</w:t>
      </w:r>
      <w:r>
        <w:t>se requirements</w:t>
      </w:r>
    </w:p>
    <w:p w:rsidR="00151513" w:rsidRDefault="00D673F7">
      <w:pPr>
        <w:pStyle w:val="ListParagraph"/>
        <w:numPr>
          <w:ilvl w:val="0"/>
          <w:numId w:val="2"/>
        </w:numPr>
        <w:spacing w:after="200"/>
      </w:pPr>
      <w:r>
        <w:t>Documentation and Verification: Maintaining records of student enrollments, progress, and certificate acquisition</w:t>
      </w:r>
    </w:p>
    <w:p w:rsidR="00151513" w:rsidRDefault="00D673F7">
      <w:r>
        <w:br w:type="page"/>
      </w:r>
    </w:p>
    <w:p w:rsidR="00151513" w:rsidRDefault="00D673F7">
      <w:pPr>
        <w:pStyle w:val="Heading1"/>
      </w:pPr>
      <w:r>
        <w:lastRenderedPageBreak/>
        <w:t>4. Program Impact and Strategic Recommendations</w:t>
      </w:r>
    </w:p>
    <w:p w:rsidR="00151513" w:rsidRDefault="00D673F7">
      <w:pPr>
        <w:pStyle w:val="Heading2"/>
      </w:pPr>
      <w:r>
        <w:t>4.1 Program Impact</w:t>
      </w:r>
    </w:p>
    <w:p w:rsidR="00151513" w:rsidRDefault="00D673F7" w:rsidP="00D673F7">
      <w:pPr>
        <w:spacing w:after="140"/>
        <w:jc w:val="both"/>
      </w:pPr>
      <w:r>
        <w:t>The Coursera Open Elective Program has demonstrated significant positive impact across multiple dimensions:</w:t>
      </w:r>
    </w:p>
    <w:p w:rsidR="00151513" w:rsidRDefault="00D673F7" w:rsidP="00D673F7">
      <w:pPr>
        <w:pStyle w:val="Heading3"/>
        <w:jc w:val="both"/>
      </w:pPr>
      <w:r>
        <w:t>Skill Enhancement</w:t>
      </w:r>
    </w:p>
    <w:p w:rsidR="00151513" w:rsidRDefault="00D673F7" w:rsidP="00D673F7">
      <w:pPr>
        <w:spacing w:after="140"/>
        <w:jc w:val="both"/>
      </w:pPr>
      <w:r>
        <w:t>Students have gained specialized knowledge in emerging areas such as construction finance, digital marketing, supply chain analyti</w:t>
      </w:r>
      <w:r>
        <w:t>cs, and data science—competencies highly valued by employers. The average course duration of 23.5 hours represents substantial learning investment beyond the regular curriculum.</w:t>
      </w:r>
    </w:p>
    <w:p w:rsidR="00151513" w:rsidRDefault="00D673F7" w:rsidP="00D673F7">
      <w:pPr>
        <w:pStyle w:val="Heading3"/>
        <w:jc w:val="both"/>
      </w:pPr>
      <w:r>
        <w:t>Global Exposure</w:t>
      </w:r>
    </w:p>
    <w:p w:rsidR="00151513" w:rsidRDefault="00D673F7" w:rsidP="00D673F7">
      <w:pPr>
        <w:spacing w:after="140"/>
        <w:jc w:val="both"/>
      </w:pPr>
      <w:r>
        <w:t>Access to courses from world-renowned institutions has provide</w:t>
      </w:r>
      <w:r>
        <w:t>d students with international perspectives on business practices, exposure to global case studies, and learning from distinguished faculty from leading universities worldwide.</w:t>
      </w:r>
    </w:p>
    <w:p w:rsidR="00151513" w:rsidRDefault="00D673F7" w:rsidP="00D673F7">
      <w:pPr>
        <w:pStyle w:val="Heading3"/>
        <w:jc w:val="both"/>
      </w:pPr>
      <w:r>
        <w:t>Career Readiness</w:t>
      </w:r>
    </w:p>
    <w:p w:rsidR="00151513" w:rsidRDefault="00D673F7" w:rsidP="00D673F7">
      <w:pPr>
        <w:spacing w:after="140"/>
        <w:jc w:val="both"/>
      </w:pPr>
      <w:r>
        <w:t>Industry-recognized certifications from institutions like Colum</w:t>
      </w:r>
      <w:r>
        <w:t>bia University, University of Michigan, and companies like Google and Salesforce significantly enhance student resumes and demonstrate commitment to continuous learning—a quality highly appreciated by recruiters.</w:t>
      </w:r>
    </w:p>
    <w:p w:rsidR="00151513" w:rsidRDefault="00D673F7" w:rsidP="00D673F7">
      <w:pPr>
        <w:pStyle w:val="Heading3"/>
        <w:jc w:val="both"/>
      </w:pPr>
      <w:r>
        <w:t>Self-Directed Learning</w:t>
      </w:r>
    </w:p>
    <w:p w:rsidR="00151513" w:rsidRDefault="00D673F7" w:rsidP="00D673F7">
      <w:pPr>
        <w:spacing w:after="200"/>
        <w:jc w:val="both"/>
      </w:pPr>
      <w:r>
        <w:t>The program cultivat</w:t>
      </w:r>
      <w:r>
        <w:t>es essential professional skills including time management, self-motivation, and independent learning capabilities—attributes critical for success in dynamic business environments.</w:t>
      </w:r>
    </w:p>
    <w:p w:rsidR="00151513" w:rsidRDefault="00D673F7">
      <w:pPr>
        <w:pStyle w:val="Heading2"/>
      </w:pPr>
      <w:r>
        <w:t>4.2 Key Achievements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8"/>
      </w:tblGrid>
      <w:tr w:rsidR="00151513">
        <w:tblPrEx>
          <w:tblCellMar>
            <w:top w:w="0" w:type="dxa"/>
            <w:bottom w:w="0" w:type="dxa"/>
          </w:tblCellMar>
        </w:tblPrEx>
        <w:tc>
          <w:tcPr>
            <w:tcW w:w="5000" w:type="pct"/>
            <w:tcBorders>
              <w:top w:val="single" w:sz="1" w:space="0" w:color="CCCCCC"/>
              <w:left w:val="single" w:sz="1" w:space="0" w:color="CCCCCC"/>
              <w:bottom w:val="single" w:sz="1" w:space="0" w:color="CCCCCC"/>
              <w:right w:val="single" w:sz="1" w:space="0" w:color="CCCCCC"/>
            </w:tcBorders>
            <w:shd w:val="clear" w:color="auto" w:fill="E8F5E9"/>
            <w:tcMar>
              <w:top w:w="150" w:type="dxa"/>
              <w:left w:w="200" w:type="dxa"/>
              <w:bottom w:w="150" w:type="dxa"/>
              <w:right w:w="200" w:type="dxa"/>
            </w:tcMar>
          </w:tcPr>
          <w:p w:rsidR="00151513" w:rsidRDefault="00D673F7">
            <w:pPr>
              <w:spacing w:after="100"/>
            </w:pPr>
            <w:r>
              <w:rPr>
                <w:b/>
                <w:bCs/>
                <w:color w:val="1F4788"/>
                <w:sz w:val="24"/>
                <w:szCs w:val="24"/>
              </w:rPr>
              <w:t>✓</w:t>
            </w:r>
            <w:r>
              <w:rPr>
                <w:b/>
                <w:bCs/>
                <w:color w:val="1F4788"/>
                <w:sz w:val="24"/>
                <w:szCs w:val="24"/>
              </w:rPr>
              <w:t xml:space="preserve"> 87.8% Completion Rate </w:t>
            </w:r>
            <w:r>
              <w:t>- Exceeding industry benchmarks for online course completion</w:t>
            </w:r>
          </w:p>
          <w:p w:rsidR="00151513" w:rsidRDefault="00D673F7">
            <w:pPr>
              <w:spacing w:after="100"/>
            </w:pPr>
            <w:r>
              <w:rPr>
                <w:b/>
                <w:bCs/>
                <w:color w:val="1F4788"/>
                <w:sz w:val="24"/>
                <w:szCs w:val="24"/>
              </w:rPr>
              <w:t>✓</w:t>
            </w:r>
            <w:r>
              <w:rPr>
                <w:b/>
                <w:bCs/>
                <w:color w:val="1F4788"/>
                <w:sz w:val="24"/>
                <w:szCs w:val="24"/>
              </w:rPr>
              <w:t xml:space="preserve"> 4.66/5.0 Average Rating </w:t>
            </w:r>
            <w:r>
              <w:t>- Demonstrating high-quality course selection</w:t>
            </w:r>
          </w:p>
          <w:p w:rsidR="00151513" w:rsidRDefault="00D673F7">
            <w:pPr>
              <w:spacing w:after="100"/>
            </w:pPr>
            <w:r>
              <w:rPr>
                <w:b/>
                <w:bCs/>
                <w:color w:val="1F4788"/>
                <w:sz w:val="24"/>
                <w:szCs w:val="24"/>
              </w:rPr>
              <w:t>✓</w:t>
            </w:r>
            <w:r>
              <w:rPr>
                <w:b/>
                <w:bCs/>
                <w:color w:val="1F4788"/>
                <w:sz w:val="24"/>
                <w:szCs w:val="24"/>
              </w:rPr>
              <w:t xml:space="preserve"> 78+ Unique Courses </w:t>
            </w:r>
            <w:r>
              <w:t>- Offering diverse learning pathways</w:t>
            </w:r>
          </w:p>
          <w:p w:rsidR="00151513" w:rsidRDefault="00D673F7">
            <w:r>
              <w:rPr>
                <w:b/>
                <w:bCs/>
                <w:color w:val="1F4788"/>
                <w:sz w:val="24"/>
                <w:szCs w:val="24"/>
              </w:rPr>
              <w:t>✓</w:t>
            </w:r>
            <w:r>
              <w:rPr>
                <w:b/>
                <w:bCs/>
                <w:color w:val="1F4788"/>
                <w:sz w:val="24"/>
                <w:szCs w:val="24"/>
              </w:rPr>
              <w:t xml:space="preserve"> 15+ Partner Institutions </w:t>
            </w:r>
            <w:r>
              <w:t>- Including Ivy League universities an</w:t>
            </w:r>
            <w:r>
              <w:t>d industry leaders</w:t>
            </w:r>
          </w:p>
        </w:tc>
      </w:tr>
    </w:tbl>
    <w:p w:rsidR="00151513" w:rsidRDefault="00151513">
      <w:pPr>
        <w:spacing w:before="300"/>
      </w:pPr>
    </w:p>
    <w:p w:rsidR="00151513" w:rsidRDefault="00D673F7">
      <w:pPr>
        <w:pStyle w:val="Heading2"/>
      </w:pPr>
      <w:r>
        <w:t>4.3 Strategic Recommendations</w:t>
      </w:r>
    </w:p>
    <w:p w:rsidR="00151513" w:rsidRDefault="00D673F7" w:rsidP="00D673F7">
      <w:pPr>
        <w:spacing w:after="120"/>
        <w:jc w:val="both"/>
      </w:pPr>
      <w:r>
        <w:t>To further enhance the program's impact, the following strategic initiatives are recommended:</w:t>
      </w:r>
    </w:p>
    <w:p w:rsidR="00151513" w:rsidRDefault="00D673F7" w:rsidP="00D673F7">
      <w:pPr>
        <w:pStyle w:val="ListParagraph"/>
        <w:numPr>
          <w:ilvl w:val="0"/>
          <w:numId w:val="2"/>
        </w:numPr>
        <w:jc w:val="both"/>
      </w:pPr>
      <w:r>
        <w:t xml:space="preserve">Expand Domain Coverage: Introduce more courses in emerging areas such as Artificial Intelligence, </w:t>
      </w:r>
      <w:proofErr w:type="spellStart"/>
      <w:r>
        <w:t>Blockchain</w:t>
      </w:r>
      <w:proofErr w:type="spellEnd"/>
      <w:r>
        <w:t>, Sustainability, and Healthcare Management to align with evolving industry demands</w:t>
      </w:r>
    </w:p>
    <w:p w:rsidR="00151513" w:rsidRDefault="00D673F7" w:rsidP="00D673F7">
      <w:pPr>
        <w:pStyle w:val="ListParagraph"/>
        <w:numPr>
          <w:ilvl w:val="0"/>
          <w:numId w:val="2"/>
        </w:numPr>
        <w:jc w:val="both"/>
      </w:pPr>
      <w:r>
        <w:t>Incentive Framework: Consider implementing recognition mechanism</w:t>
      </w:r>
      <w:r>
        <w:t>s for students achieving multiple certifications or exceptional completion rates (scholarships, awards, placement priority)</w:t>
      </w:r>
    </w:p>
    <w:p w:rsidR="00151513" w:rsidRDefault="00D673F7" w:rsidP="00D673F7">
      <w:pPr>
        <w:pStyle w:val="ListParagraph"/>
        <w:numPr>
          <w:ilvl w:val="0"/>
          <w:numId w:val="2"/>
        </w:numPr>
        <w:jc w:val="both"/>
      </w:pPr>
      <w:r>
        <w:lastRenderedPageBreak/>
        <w:t>Integration with Curriculum: Explore opportunities to grant academic credit for selected high-value Coursera courses, potentially re</w:t>
      </w:r>
      <w:r>
        <w:t>ducing elective load while maintaining learning outcomes</w:t>
      </w:r>
    </w:p>
    <w:p w:rsidR="00151513" w:rsidRDefault="00D673F7" w:rsidP="00D673F7">
      <w:pPr>
        <w:pStyle w:val="ListParagraph"/>
        <w:numPr>
          <w:ilvl w:val="0"/>
          <w:numId w:val="2"/>
        </w:numPr>
        <w:jc w:val="both"/>
      </w:pPr>
      <w:r>
        <w:t>Industry Partnerships: Leverage corporate partnerships to identify and recommend courses aligned with specific industry requirements and placement opportunities</w:t>
      </w:r>
    </w:p>
    <w:p w:rsidR="00151513" w:rsidRDefault="00D673F7" w:rsidP="00D673F7">
      <w:pPr>
        <w:pStyle w:val="ListParagraph"/>
        <w:numPr>
          <w:ilvl w:val="0"/>
          <w:numId w:val="2"/>
        </w:numPr>
        <w:jc w:val="both"/>
      </w:pPr>
      <w:r>
        <w:t>Peer Learning Communities: Establish s</w:t>
      </w:r>
      <w:r>
        <w:t>tudent forums or study groups for popular courses to facilitate collaborative learning and increase engagement</w:t>
      </w:r>
    </w:p>
    <w:p w:rsidR="00151513" w:rsidRDefault="00D673F7" w:rsidP="00D673F7">
      <w:pPr>
        <w:pStyle w:val="ListParagraph"/>
        <w:numPr>
          <w:ilvl w:val="0"/>
          <w:numId w:val="2"/>
        </w:numPr>
        <w:jc w:val="both"/>
      </w:pPr>
      <w:r>
        <w:t xml:space="preserve">Alumni Network: Create an alumni database of Coursera certifications to facilitate mentorship, career guidance, and showcase program outcomes to </w:t>
      </w:r>
      <w:r>
        <w:t>prospective students</w:t>
      </w:r>
    </w:p>
    <w:p w:rsidR="00151513" w:rsidRDefault="00D673F7" w:rsidP="00D673F7">
      <w:pPr>
        <w:pStyle w:val="ListParagraph"/>
        <w:numPr>
          <w:ilvl w:val="0"/>
          <w:numId w:val="2"/>
        </w:numPr>
        <w:spacing w:after="250"/>
        <w:jc w:val="both"/>
      </w:pPr>
      <w:r>
        <w:t>Data Analytics Dashboard: Develop a comprehensive tracking system to monitor real-time progress, identify at-risk students, and generate insights for continuous program improvement</w:t>
      </w:r>
    </w:p>
    <w:p w:rsidR="00151513" w:rsidRDefault="00D673F7" w:rsidP="00D673F7">
      <w:pPr>
        <w:pStyle w:val="Heading2"/>
        <w:jc w:val="both"/>
      </w:pPr>
      <w:r>
        <w:t>4.4 Conclusion</w:t>
      </w:r>
    </w:p>
    <w:p w:rsidR="00151513" w:rsidRDefault="00D673F7" w:rsidP="00D673F7">
      <w:pPr>
        <w:spacing w:after="200"/>
        <w:jc w:val="both"/>
      </w:pPr>
      <w:r>
        <w:t>The Coursera Open Elective Program repr</w:t>
      </w:r>
      <w:r>
        <w:t xml:space="preserve">esents a strategic initiative that significantly enhances the value proposition of the RVIM MBA program. With 181 students engaging with world-class content from premier institutions, achieving an impressive 87.8% completion rate, and accumulating diverse </w:t>
      </w:r>
      <w:r>
        <w:t>certifications across multiple domains, the program has successfully created a culture of continuous learning and professional development.</w:t>
      </w:r>
    </w:p>
    <w:p w:rsidR="00151513" w:rsidRDefault="00D673F7" w:rsidP="00D673F7">
      <w:pPr>
        <w:spacing w:after="200"/>
        <w:jc w:val="both"/>
      </w:pPr>
      <w:r>
        <w:t>The dedication of 19 faculty mentors, the diversity of 78+ courses spanning multiple functional areas, and the parti</w:t>
      </w:r>
      <w:r>
        <w:t>cipation of students in high-quality programs from institutions like Columbia, Michigan, Yale, and leading corporations demonstrate RVIM's commitment to providing holistic, globally-relevant management education.</w:t>
      </w:r>
    </w:p>
    <w:p w:rsidR="00151513" w:rsidRDefault="00D673F7" w:rsidP="00D673F7">
      <w:pPr>
        <w:spacing w:after="200"/>
        <w:jc w:val="both"/>
      </w:pPr>
      <w:r>
        <w:t>As the business landscape continues to evol</w:t>
      </w:r>
      <w:r>
        <w:t>ve rapidly, this program positions RVIM students with competitive advantages—specialized skills, global perspectives, recognized certifications, and most importantly, the mindset and capabilities for lifelong learning. The program's success serves as a mod</w:t>
      </w:r>
      <w:r>
        <w:t>el for innovative curriculum enrichment and stands as a distinctive practice that differentiates RVIM in the competitive management education landscape.</w:t>
      </w:r>
      <w:bookmarkStart w:id="0" w:name="_GoBack"/>
      <w:bookmarkEnd w:id="0"/>
    </w:p>
    <w:p w:rsidR="00151513" w:rsidRDefault="00D673F7">
      <w:pPr>
        <w:spacing w:before="400"/>
        <w:jc w:val="center"/>
      </w:pPr>
      <w:r>
        <w:rPr>
          <w:b/>
          <w:bCs/>
          <w:sz w:val="28"/>
          <w:szCs w:val="28"/>
        </w:rPr>
        <w:t>***</w:t>
      </w:r>
    </w:p>
    <w:p w:rsidR="00151513" w:rsidRDefault="00D673F7">
      <w:pPr>
        <w:spacing w:before="200"/>
        <w:jc w:val="center"/>
      </w:pPr>
      <w:r>
        <w:rPr>
          <w:i/>
          <w:iCs/>
          <w:color w:val="808080"/>
          <w:sz w:val="20"/>
          <w:szCs w:val="20"/>
        </w:rPr>
        <w:t>End of Report</w:t>
      </w:r>
    </w:p>
    <w:sectPr w:rsidR="0015151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B5543"/>
    <w:multiLevelType w:val="hybridMultilevel"/>
    <w:tmpl w:val="83A6EF4A"/>
    <w:lvl w:ilvl="0" w:tplc="AED25418">
      <w:start w:val="1"/>
      <w:numFmt w:val="bullet"/>
      <w:lvlText w:val="•"/>
      <w:lvlJc w:val="left"/>
      <w:pPr>
        <w:ind w:left="720" w:hanging="360"/>
      </w:pPr>
    </w:lvl>
    <w:lvl w:ilvl="1" w:tplc="B1047998">
      <w:numFmt w:val="decimal"/>
      <w:lvlText w:val=""/>
      <w:lvlJc w:val="left"/>
    </w:lvl>
    <w:lvl w:ilvl="2" w:tplc="312CED38">
      <w:numFmt w:val="decimal"/>
      <w:lvlText w:val=""/>
      <w:lvlJc w:val="left"/>
    </w:lvl>
    <w:lvl w:ilvl="3" w:tplc="271E3612">
      <w:numFmt w:val="decimal"/>
      <w:lvlText w:val=""/>
      <w:lvlJc w:val="left"/>
    </w:lvl>
    <w:lvl w:ilvl="4" w:tplc="BD8893F0">
      <w:numFmt w:val="decimal"/>
      <w:lvlText w:val=""/>
      <w:lvlJc w:val="left"/>
    </w:lvl>
    <w:lvl w:ilvl="5" w:tplc="08BC8ACA">
      <w:numFmt w:val="decimal"/>
      <w:lvlText w:val=""/>
      <w:lvlJc w:val="left"/>
    </w:lvl>
    <w:lvl w:ilvl="6" w:tplc="C9E86F64">
      <w:numFmt w:val="decimal"/>
      <w:lvlText w:val=""/>
      <w:lvlJc w:val="left"/>
    </w:lvl>
    <w:lvl w:ilvl="7" w:tplc="E228A94E">
      <w:numFmt w:val="decimal"/>
      <w:lvlText w:val=""/>
      <w:lvlJc w:val="left"/>
    </w:lvl>
    <w:lvl w:ilvl="8" w:tplc="C6ECC974">
      <w:numFmt w:val="decimal"/>
      <w:lvlText w:val=""/>
      <w:lvlJc w:val="left"/>
    </w:lvl>
  </w:abstractNum>
  <w:abstractNum w:abstractNumId="1" w15:restartNumberingAfterBreak="0">
    <w:nsid w:val="61983E67"/>
    <w:multiLevelType w:val="hybridMultilevel"/>
    <w:tmpl w:val="7598A6A6"/>
    <w:lvl w:ilvl="0" w:tplc="D3480984">
      <w:start w:val="1"/>
      <w:numFmt w:val="bullet"/>
      <w:lvlText w:val="●"/>
      <w:lvlJc w:val="left"/>
      <w:pPr>
        <w:ind w:left="720" w:hanging="360"/>
      </w:pPr>
    </w:lvl>
    <w:lvl w:ilvl="1" w:tplc="65BAEC3E">
      <w:start w:val="1"/>
      <w:numFmt w:val="bullet"/>
      <w:lvlText w:val="○"/>
      <w:lvlJc w:val="left"/>
      <w:pPr>
        <w:ind w:left="1440" w:hanging="360"/>
      </w:pPr>
    </w:lvl>
    <w:lvl w:ilvl="2" w:tplc="839EC3B4">
      <w:start w:val="1"/>
      <w:numFmt w:val="bullet"/>
      <w:lvlText w:val="■"/>
      <w:lvlJc w:val="left"/>
      <w:pPr>
        <w:ind w:left="2160" w:hanging="360"/>
      </w:pPr>
    </w:lvl>
    <w:lvl w:ilvl="3" w:tplc="8A903E2C">
      <w:start w:val="1"/>
      <w:numFmt w:val="bullet"/>
      <w:lvlText w:val="●"/>
      <w:lvlJc w:val="left"/>
      <w:pPr>
        <w:ind w:left="2880" w:hanging="360"/>
      </w:pPr>
    </w:lvl>
    <w:lvl w:ilvl="4" w:tplc="76702D44">
      <w:start w:val="1"/>
      <w:numFmt w:val="bullet"/>
      <w:lvlText w:val="○"/>
      <w:lvlJc w:val="left"/>
      <w:pPr>
        <w:ind w:left="3600" w:hanging="360"/>
      </w:pPr>
    </w:lvl>
    <w:lvl w:ilvl="5" w:tplc="0AAE343E">
      <w:start w:val="1"/>
      <w:numFmt w:val="bullet"/>
      <w:lvlText w:val="■"/>
      <w:lvlJc w:val="left"/>
      <w:pPr>
        <w:ind w:left="4320" w:hanging="360"/>
      </w:pPr>
    </w:lvl>
    <w:lvl w:ilvl="6" w:tplc="BD76103E">
      <w:start w:val="1"/>
      <w:numFmt w:val="bullet"/>
      <w:lvlText w:val="●"/>
      <w:lvlJc w:val="left"/>
      <w:pPr>
        <w:ind w:left="5040" w:hanging="360"/>
      </w:pPr>
    </w:lvl>
    <w:lvl w:ilvl="7" w:tplc="64EAF5F8">
      <w:start w:val="1"/>
      <w:numFmt w:val="bullet"/>
      <w:lvlText w:val="●"/>
      <w:lvlJc w:val="left"/>
      <w:pPr>
        <w:ind w:left="5760" w:hanging="360"/>
      </w:pPr>
    </w:lvl>
    <w:lvl w:ilvl="8" w:tplc="EA0E9AB8">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513"/>
    <w:rsid w:val="00151513"/>
    <w:rsid w:val="00D67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0B2BA"/>
  <w15:docId w15:val="{764112F7-EC0D-4A21-8781-C4FB35F1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spacing w:before="240" w:after="200"/>
      <w:outlineLvl w:val="0"/>
    </w:pPr>
    <w:rPr>
      <w:b/>
      <w:bCs/>
      <w:color w:val="1F4788"/>
      <w:sz w:val="32"/>
      <w:szCs w:val="32"/>
    </w:rPr>
  </w:style>
  <w:style w:type="paragraph" w:styleId="Heading2">
    <w:name w:val="heading 2"/>
    <w:qFormat/>
    <w:pPr>
      <w:spacing w:before="180" w:after="140"/>
      <w:outlineLvl w:val="1"/>
    </w:pPr>
    <w:rPr>
      <w:b/>
      <w:bCs/>
      <w:color w:val="2E5C9A"/>
      <w:sz w:val="26"/>
      <w:szCs w:val="26"/>
    </w:rPr>
  </w:style>
  <w:style w:type="paragraph" w:styleId="Heading3">
    <w:name w:val="heading 3"/>
    <w:qFormat/>
    <w:pPr>
      <w:spacing w:before="140" w:after="100"/>
      <w:outlineLvl w:val="2"/>
    </w:pPr>
    <w:rPr>
      <w:b/>
      <w:bCs/>
      <w:color w:val="4A4A4A"/>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1409</Words>
  <Characters>8032</Characters>
  <Application>Microsoft Office Word</Application>
  <DocSecurity>0</DocSecurity>
  <Lines>66</Lines>
  <Paragraphs>18</Paragraphs>
  <ScaleCrop>false</ScaleCrop>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2</cp:revision>
  <dcterms:created xsi:type="dcterms:W3CDTF">2026-02-03T08:35:00Z</dcterms:created>
  <dcterms:modified xsi:type="dcterms:W3CDTF">2026-02-03T08:38:00Z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5790ecd8-2e03-401c-ba07-9506d372aa34</vt:lpwstr>
  </property>
</Properties>
</file>