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E6B" w:rsidRPr="007501F9" w:rsidRDefault="007501F9">
      <w:pPr>
        <w:pStyle w:val="Heading1"/>
        <w:spacing w:before="2880" w:after="480"/>
        <w:jc w:val="center"/>
        <w:rPr>
          <w:color w:val="000000" w:themeColor="text1"/>
        </w:rPr>
      </w:pPr>
      <w:r w:rsidRPr="007501F9">
        <w:rPr>
          <w:color w:val="000000" w:themeColor="text1"/>
        </w:rPr>
        <w:t>COURSERA PROGRAM ACTIVITY REPORT</w:t>
      </w:r>
    </w:p>
    <w:p w:rsidR="00140E6B" w:rsidRPr="007501F9" w:rsidRDefault="007501F9">
      <w:pPr>
        <w:spacing w:after="240"/>
        <w:jc w:val="center"/>
        <w:rPr>
          <w:color w:val="000000" w:themeColor="text1"/>
        </w:rPr>
      </w:pPr>
      <w:r w:rsidRPr="007501F9">
        <w:rPr>
          <w:i/>
          <w:iCs/>
          <w:color w:val="000000" w:themeColor="text1"/>
        </w:rPr>
        <w:t>Comprehensive Analysis of Program Engagement and Learning Outcomes</w:t>
      </w:r>
    </w:p>
    <w:p w:rsidR="00140E6B" w:rsidRPr="007501F9" w:rsidRDefault="007501F9">
      <w:pPr>
        <w:spacing w:after="1440"/>
        <w:jc w:val="center"/>
        <w:rPr>
          <w:color w:val="000000" w:themeColor="text1"/>
        </w:rPr>
      </w:pPr>
      <w:r w:rsidRPr="007501F9">
        <w:rPr>
          <w:b/>
          <w:bCs/>
          <w:color w:val="000000" w:themeColor="text1"/>
          <w:sz w:val="26"/>
          <w:szCs w:val="26"/>
        </w:rPr>
        <w:t>R. V. Institute of Management</w:t>
      </w:r>
    </w:p>
    <w:p w:rsidR="00140E6B" w:rsidRPr="007501F9" w:rsidRDefault="007501F9">
      <w:pPr>
        <w:spacing w:after="2880"/>
        <w:jc w:val="center"/>
        <w:rPr>
          <w:color w:val="000000" w:themeColor="text1"/>
        </w:rPr>
      </w:pPr>
      <w:r w:rsidRPr="007501F9">
        <w:rPr>
          <w:color w:val="000000" w:themeColor="text1"/>
          <w:sz w:val="22"/>
          <w:szCs w:val="22"/>
        </w:rPr>
        <w:t>Report Date: February 4, 2026</w:t>
      </w:r>
    </w:p>
    <w:p w:rsidR="008C7BEC" w:rsidRPr="007501F9" w:rsidRDefault="008C7BEC">
      <w:pPr>
        <w:pStyle w:val="Heading1"/>
        <w:rPr>
          <w:color w:val="000000" w:themeColor="text1"/>
        </w:rPr>
      </w:pPr>
    </w:p>
    <w:p w:rsidR="008C7BEC" w:rsidRPr="007501F9" w:rsidRDefault="008C7BEC">
      <w:pPr>
        <w:pStyle w:val="Heading1"/>
        <w:rPr>
          <w:color w:val="000000" w:themeColor="text1"/>
        </w:rPr>
      </w:pPr>
    </w:p>
    <w:p w:rsidR="008C7BEC" w:rsidRPr="007501F9" w:rsidRDefault="008C7BEC">
      <w:pPr>
        <w:pStyle w:val="Heading1"/>
        <w:rPr>
          <w:color w:val="000000" w:themeColor="text1"/>
        </w:rPr>
      </w:pPr>
    </w:p>
    <w:p w:rsidR="008C7BEC" w:rsidRPr="007501F9" w:rsidRDefault="008C7BEC">
      <w:pPr>
        <w:pStyle w:val="Heading1"/>
        <w:rPr>
          <w:color w:val="000000" w:themeColor="text1"/>
        </w:rPr>
      </w:pPr>
    </w:p>
    <w:p w:rsidR="008C7BEC" w:rsidRPr="007501F9" w:rsidRDefault="008C7BEC">
      <w:pPr>
        <w:pStyle w:val="Heading1"/>
        <w:rPr>
          <w:color w:val="000000" w:themeColor="text1"/>
        </w:rPr>
      </w:pPr>
    </w:p>
    <w:p w:rsidR="00140E6B" w:rsidRPr="007501F9" w:rsidRDefault="007501F9">
      <w:pPr>
        <w:pStyle w:val="Heading1"/>
        <w:rPr>
          <w:color w:val="000000" w:themeColor="text1"/>
        </w:rPr>
      </w:pPr>
      <w:r w:rsidRPr="007501F9">
        <w:rPr>
          <w:color w:val="000000" w:themeColor="text1"/>
        </w:rPr>
        <w:lastRenderedPageBreak/>
        <w:t>Executive Summary</w:t>
      </w:r>
    </w:p>
    <w:p w:rsidR="00140E6B" w:rsidRPr="007501F9" w:rsidRDefault="007501F9" w:rsidP="008C7BEC">
      <w:pPr>
        <w:spacing w:after="240"/>
        <w:jc w:val="both"/>
        <w:rPr>
          <w:color w:val="000000" w:themeColor="text1"/>
        </w:rPr>
      </w:pPr>
      <w:r w:rsidRPr="007501F9">
        <w:rPr>
          <w:color w:val="000000" w:themeColor="text1"/>
        </w:rPr>
        <w:t>This comprehensive report analyzes Coursera program activity data for 391 members across 9 distinct learning programs at R. V. Institute of Management. The dataset encompasses enrollment patterns, completion rates, learning time investments, and individual</w:t>
      </w:r>
      <w:r w:rsidRPr="007501F9">
        <w:rPr>
          <w:color w:val="000000" w:themeColor="text1"/>
        </w:rPr>
        <w:t xml:space="preserve"> performance metrics from multiple cohorts including MBA batches, faculty development programs, and specialized learning tracks.</w:t>
      </w:r>
    </w:p>
    <w:p w:rsidR="00140E6B" w:rsidRPr="007501F9" w:rsidRDefault="007501F9">
      <w:pPr>
        <w:pStyle w:val="Heading2"/>
        <w:rPr>
          <w:color w:val="000000" w:themeColor="text1"/>
        </w:rPr>
      </w:pPr>
      <w:r w:rsidRPr="007501F9">
        <w:rPr>
          <w:color w:val="000000" w:themeColor="text1"/>
        </w:rPr>
        <w:t>Key Metrics Overview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140E6B" w:rsidRPr="007501F9" w:rsidRDefault="007501F9">
            <w:pPr>
              <w:rPr>
                <w:color w:val="000000" w:themeColor="text1"/>
              </w:rPr>
            </w:pPr>
            <w:r w:rsidRPr="007501F9">
              <w:rPr>
                <w:b/>
                <w:bCs/>
                <w:color w:val="000000" w:themeColor="text1"/>
                <w:sz w:val="22"/>
                <w:szCs w:val="22"/>
              </w:rPr>
              <w:t>Metric</w:t>
            </w:r>
          </w:p>
        </w:tc>
        <w:tc>
          <w:tcPr>
            <w:tcW w:w="468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140E6B" w:rsidRPr="007501F9" w:rsidRDefault="007501F9">
            <w:pPr>
              <w:rPr>
                <w:color w:val="000000" w:themeColor="text1"/>
              </w:rPr>
            </w:pPr>
            <w:r w:rsidRPr="007501F9">
              <w:rPr>
                <w:b/>
                <w:bCs/>
                <w:color w:val="000000" w:themeColor="text1"/>
                <w:sz w:val="22"/>
                <w:szCs w:val="22"/>
              </w:rPr>
              <w:t>Value</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Total Program Members</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8C7BEC">
            <w:pPr>
              <w:rPr>
                <w:color w:val="000000" w:themeColor="text1"/>
              </w:rPr>
            </w:pPr>
            <w:r w:rsidRPr="007501F9">
              <w:rPr>
                <w:color w:val="000000" w:themeColor="text1"/>
                <w:sz w:val="22"/>
                <w:szCs w:val="22"/>
              </w:rPr>
              <w:t>1</w:t>
            </w:r>
            <w:r w:rsidR="007501F9" w:rsidRPr="007501F9">
              <w:rPr>
                <w:color w:val="000000" w:themeColor="text1"/>
                <w:sz w:val="22"/>
                <w:szCs w:val="22"/>
              </w:rPr>
              <w:t>91</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Total Course Enrollments</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0E5D72">
            <w:pPr>
              <w:rPr>
                <w:color w:val="000000" w:themeColor="text1"/>
              </w:rPr>
            </w:pPr>
            <w:r w:rsidRPr="007501F9">
              <w:rPr>
                <w:color w:val="000000" w:themeColor="text1"/>
                <w:sz w:val="22"/>
                <w:szCs w:val="22"/>
              </w:rPr>
              <w:t>1</w:t>
            </w:r>
            <w:r w:rsidR="007501F9" w:rsidRPr="007501F9">
              <w:rPr>
                <w:color w:val="000000" w:themeColor="text1"/>
                <w:sz w:val="22"/>
                <w:szCs w:val="22"/>
              </w:rPr>
              <w:t>,390</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Total Course Completions</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0E5D72">
            <w:pPr>
              <w:rPr>
                <w:color w:val="000000" w:themeColor="text1"/>
              </w:rPr>
            </w:pPr>
            <w:r w:rsidRPr="007501F9">
              <w:rPr>
                <w:color w:val="000000" w:themeColor="text1"/>
                <w:sz w:val="22"/>
                <w:szCs w:val="22"/>
              </w:rPr>
              <w:t>1104</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Overall Completion Rate</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8C7BEC">
            <w:pPr>
              <w:rPr>
                <w:color w:val="000000" w:themeColor="text1"/>
              </w:rPr>
            </w:pPr>
            <w:r w:rsidRPr="007501F9">
              <w:rPr>
                <w:color w:val="000000" w:themeColor="text1"/>
                <w:sz w:val="22"/>
                <w:szCs w:val="22"/>
              </w:rPr>
              <w:t>7</w:t>
            </w:r>
            <w:r w:rsidR="007501F9" w:rsidRPr="007501F9">
              <w:rPr>
                <w:color w:val="000000" w:themeColor="text1"/>
                <w:sz w:val="22"/>
                <w:szCs w:val="22"/>
              </w:rPr>
              <w:t>9.38%</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Average Enrollments per Member</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8C7BEC">
            <w:pPr>
              <w:rPr>
                <w:color w:val="000000" w:themeColor="text1"/>
              </w:rPr>
            </w:pPr>
            <w:r w:rsidRPr="007501F9">
              <w:rPr>
                <w:color w:val="000000" w:themeColor="text1"/>
                <w:sz w:val="22"/>
                <w:szCs w:val="22"/>
              </w:rPr>
              <w:t>4</w:t>
            </w:r>
            <w:r w:rsidR="007501F9" w:rsidRPr="007501F9">
              <w:rPr>
                <w:color w:val="000000" w:themeColor="text1"/>
                <w:sz w:val="22"/>
                <w:szCs w:val="22"/>
              </w:rPr>
              <w:t>.67</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Total Learning Hours</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8C7BEC">
            <w:pPr>
              <w:rPr>
                <w:color w:val="000000" w:themeColor="text1"/>
              </w:rPr>
            </w:pPr>
            <w:r w:rsidRPr="007501F9">
              <w:rPr>
                <w:color w:val="000000" w:themeColor="text1"/>
                <w:sz w:val="22"/>
                <w:szCs w:val="22"/>
              </w:rPr>
              <w:t>3</w:t>
            </w:r>
            <w:r w:rsidR="007501F9" w:rsidRPr="007501F9">
              <w:rPr>
                <w:color w:val="000000" w:themeColor="text1"/>
                <w:sz w:val="22"/>
                <w:szCs w:val="22"/>
              </w:rPr>
              <w:t>,457.94 hours</w:t>
            </w:r>
          </w:p>
        </w:tc>
      </w:tr>
    </w:tbl>
    <w:p w:rsidR="00140E6B" w:rsidRPr="007501F9" w:rsidRDefault="007501F9">
      <w:pPr>
        <w:pStyle w:val="Heading1"/>
        <w:rPr>
          <w:color w:val="000000" w:themeColor="text1"/>
        </w:rPr>
      </w:pPr>
      <w:r w:rsidRPr="007501F9">
        <w:rPr>
          <w:color w:val="000000" w:themeColor="text1"/>
        </w:rPr>
        <w:t>1. Program Distribution and Enrollment</w:t>
      </w:r>
    </w:p>
    <w:p w:rsidR="00140E6B" w:rsidRPr="007501F9" w:rsidRDefault="007501F9">
      <w:pPr>
        <w:pStyle w:val="Heading2"/>
        <w:rPr>
          <w:color w:val="000000" w:themeColor="text1"/>
        </w:rPr>
      </w:pPr>
      <w:r w:rsidRPr="007501F9">
        <w:rPr>
          <w:color w:val="000000" w:themeColor="text1"/>
        </w:rPr>
        <w:t>1.1 Member Distribution Across Programs</w:t>
      </w:r>
    </w:p>
    <w:p w:rsidR="00140E6B" w:rsidRPr="007501F9" w:rsidRDefault="007501F9" w:rsidP="008C7BEC">
      <w:pPr>
        <w:spacing w:after="240"/>
        <w:jc w:val="both"/>
        <w:rPr>
          <w:color w:val="000000" w:themeColor="text1"/>
        </w:rPr>
      </w:pPr>
      <w:r w:rsidRPr="007501F9">
        <w:rPr>
          <w:color w:val="000000" w:themeColor="text1"/>
        </w:rPr>
        <w:t xml:space="preserve">The </w:t>
      </w:r>
      <w:r w:rsidR="008C7BEC" w:rsidRPr="007501F9">
        <w:rPr>
          <w:color w:val="000000" w:themeColor="text1"/>
        </w:rPr>
        <w:t>1</w:t>
      </w:r>
      <w:r w:rsidRPr="007501F9">
        <w:rPr>
          <w:color w:val="000000" w:themeColor="text1"/>
        </w:rPr>
        <w:t xml:space="preserve">91 members are distributed across </w:t>
      </w:r>
      <w:r w:rsidR="008C7BEC" w:rsidRPr="007501F9">
        <w:rPr>
          <w:color w:val="000000" w:themeColor="text1"/>
        </w:rPr>
        <w:t>5</w:t>
      </w:r>
      <w:r w:rsidRPr="007501F9">
        <w:rPr>
          <w:color w:val="000000" w:themeColor="text1"/>
        </w:rPr>
        <w:t xml:space="preserve"> distinct programs, with the </w:t>
      </w:r>
      <w:r w:rsidR="008C7BEC" w:rsidRPr="007501F9">
        <w:rPr>
          <w:color w:val="000000" w:themeColor="text1"/>
        </w:rPr>
        <w:t xml:space="preserve">RVIM Faculty Program </w:t>
      </w:r>
      <w:r w:rsidRPr="007501F9">
        <w:rPr>
          <w:color w:val="000000" w:themeColor="text1"/>
        </w:rPr>
        <w:t xml:space="preserve">and MBA Batch </w:t>
      </w:r>
      <w:r w:rsidR="008C7BEC" w:rsidRPr="007501F9">
        <w:rPr>
          <w:color w:val="000000" w:themeColor="text1"/>
        </w:rPr>
        <w:t xml:space="preserve">2023-25 &amp; </w:t>
      </w:r>
      <w:r w:rsidRPr="007501F9">
        <w:rPr>
          <w:color w:val="000000" w:themeColor="text1"/>
        </w:rPr>
        <w:t>2024-26 programs accounting for the majority of membership. This distribution reflects a balanced approach to serving both curren</w:t>
      </w:r>
      <w:r w:rsidRPr="007501F9">
        <w:rPr>
          <w:color w:val="000000" w:themeColor="text1"/>
        </w:rPr>
        <w:t>t MBA students and incoming cohorts.</w:t>
      </w:r>
    </w:p>
    <w:p w:rsidR="00140E6B" w:rsidRPr="007501F9" w:rsidRDefault="007501F9">
      <w:pPr>
        <w:pStyle w:val="Heading2"/>
        <w:rPr>
          <w:color w:val="000000" w:themeColor="text1"/>
        </w:rPr>
      </w:pPr>
      <w:r w:rsidRPr="007501F9">
        <w:rPr>
          <w:color w:val="000000" w:themeColor="text1"/>
        </w:rPr>
        <w:t>1.2 Enrollment Patterns</w:t>
      </w:r>
    </w:p>
    <w:p w:rsidR="00140E6B" w:rsidRPr="007501F9" w:rsidRDefault="007501F9">
      <w:pPr>
        <w:spacing w:after="240"/>
        <w:rPr>
          <w:color w:val="000000" w:themeColor="text1"/>
        </w:rPr>
      </w:pPr>
      <w:r w:rsidRPr="007501F9">
        <w:rPr>
          <w:color w:val="000000" w:themeColor="text1"/>
        </w:rPr>
        <w:t xml:space="preserve">With </w:t>
      </w:r>
      <w:r w:rsidR="000E5D72" w:rsidRPr="007501F9">
        <w:rPr>
          <w:color w:val="000000" w:themeColor="text1"/>
        </w:rPr>
        <w:t>1</w:t>
      </w:r>
      <w:r w:rsidRPr="007501F9">
        <w:rPr>
          <w:color w:val="000000" w:themeColor="text1"/>
        </w:rPr>
        <w:t xml:space="preserve">,390 total course enrollments across </w:t>
      </w:r>
      <w:r w:rsidR="008C7BEC" w:rsidRPr="007501F9">
        <w:rPr>
          <w:color w:val="000000" w:themeColor="text1"/>
        </w:rPr>
        <w:t>1</w:t>
      </w:r>
      <w:r w:rsidRPr="007501F9">
        <w:rPr>
          <w:color w:val="000000" w:themeColor="text1"/>
        </w:rPr>
        <w:t xml:space="preserve">91 members, the average member has enrolled in </w:t>
      </w:r>
      <w:r w:rsidR="008C7BEC" w:rsidRPr="007501F9">
        <w:rPr>
          <w:color w:val="000000" w:themeColor="text1"/>
        </w:rPr>
        <w:t>4</w:t>
      </w:r>
      <w:r w:rsidRPr="007501F9">
        <w:rPr>
          <w:color w:val="000000" w:themeColor="text1"/>
        </w:rPr>
        <w:t xml:space="preserve">.67 courses. This demonstrates strong engagement with the Coursera platform. However, </w:t>
      </w:r>
      <w:r w:rsidR="00BF33E3" w:rsidRPr="007501F9">
        <w:rPr>
          <w:color w:val="000000" w:themeColor="text1"/>
        </w:rPr>
        <w:t>1</w:t>
      </w:r>
      <w:r w:rsidRPr="007501F9">
        <w:rPr>
          <w:color w:val="000000" w:themeColor="text1"/>
        </w:rPr>
        <w:t>4 members (8.7%) have zero enrollments, indicating an opportunity to drive in</w:t>
      </w:r>
      <w:r w:rsidRPr="007501F9">
        <w:rPr>
          <w:color w:val="000000" w:themeColor="text1"/>
        </w:rPr>
        <w:t>itial engagement among inactive members.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40"/>
        <w:gridCol w:w="3120"/>
      </w:tblGrid>
      <w:tr w:rsidR="007501F9" w:rsidRPr="007501F9">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140E6B" w:rsidRPr="007501F9" w:rsidRDefault="007501F9">
            <w:pPr>
              <w:rPr>
                <w:color w:val="000000" w:themeColor="text1"/>
              </w:rPr>
            </w:pPr>
            <w:r w:rsidRPr="007501F9">
              <w:rPr>
                <w:b/>
                <w:bCs/>
                <w:color w:val="000000" w:themeColor="text1"/>
                <w:sz w:val="22"/>
                <w:szCs w:val="22"/>
              </w:rPr>
              <w:t>Enrollment Metric</w:t>
            </w:r>
          </w:p>
        </w:tc>
        <w:tc>
          <w:tcPr>
            <w:tcW w:w="312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140E6B" w:rsidRPr="007501F9" w:rsidRDefault="007501F9">
            <w:pPr>
              <w:rPr>
                <w:color w:val="000000" w:themeColor="text1"/>
              </w:rPr>
            </w:pPr>
            <w:r w:rsidRPr="007501F9">
              <w:rPr>
                <w:b/>
                <w:bCs/>
                <w:color w:val="000000" w:themeColor="text1"/>
                <w:sz w:val="22"/>
                <w:szCs w:val="22"/>
              </w:rPr>
              <w:t>Value</w:t>
            </w:r>
          </w:p>
        </w:tc>
      </w:tr>
      <w:tr w:rsidR="007501F9" w:rsidRPr="007501F9">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Members with Enrollments</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BF33E3">
            <w:pPr>
              <w:rPr>
                <w:color w:val="000000" w:themeColor="text1"/>
              </w:rPr>
            </w:pPr>
            <w:r w:rsidRPr="007501F9">
              <w:rPr>
                <w:color w:val="000000" w:themeColor="text1"/>
              </w:rPr>
              <w:t>177</w:t>
            </w:r>
          </w:p>
        </w:tc>
      </w:tr>
      <w:tr w:rsidR="007501F9" w:rsidRPr="007501F9">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Members with Zero Enrollments</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BF33E3">
            <w:pPr>
              <w:rPr>
                <w:color w:val="000000" w:themeColor="text1"/>
              </w:rPr>
            </w:pPr>
            <w:r w:rsidRPr="007501F9">
              <w:rPr>
                <w:color w:val="000000" w:themeColor="text1"/>
                <w:sz w:val="22"/>
                <w:szCs w:val="22"/>
              </w:rPr>
              <w:t>1</w:t>
            </w:r>
            <w:r w:rsidR="007501F9" w:rsidRPr="007501F9">
              <w:rPr>
                <w:color w:val="000000" w:themeColor="text1"/>
                <w:sz w:val="22"/>
                <w:szCs w:val="22"/>
              </w:rPr>
              <w:t>4</w:t>
            </w:r>
          </w:p>
        </w:tc>
      </w:tr>
      <w:tr w:rsidR="007501F9" w:rsidRPr="007501F9">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Engagement Rate</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rsidP="00BF33E3">
            <w:pPr>
              <w:rPr>
                <w:color w:val="000000" w:themeColor="text1"/>
              </w:rPr>
            </w:pPr>
            <w:r w:rsidRPr="007501F9">
              <w:rPr>
                <w:color w:val="000000" w:themeColor="text1"/>
                <w:sz w:val="22"/>
                <w:szCs w:val="22"/>
              </w:rPr>
              <w:t>9</w:t>
            </w:r>
            <w:r w:rsidR="00BF33E3" w:rsidRPr="007501F9">
              <w:rPr>
                <w:color w:val="000000" w:themeColor="text1"/>
                <w:sz w:val="22"/>
                <w:szCs w:val="22"/>
              </w:rPr>
              <w:t>2</w:t>
            </w:r>
            <w:r w:rsidRPr="007501F9">
              <w:rPr>
                <w:color w:val="000000" w:themeColor="text1"/>
                <w:sz w:val="22"/>
                <w:szCs w:val="22"/>
              </w:rPr>
              <w:t>.</w:t>
            </w:r>
            <w:r w:rsidR="00BF33E3" w:rsidRPr="007501F9">
              <w:rPr>
                <w:color w:val="000000" w:themeColor="text1"/>
                <w:sz w:val="22"/>
                <w:szCs w:val="22"/>
              </w:rPr>
              <w:t>67</w:t>
            </w:r>
            <w:r w:rsidRPr="007501F9">
              <w:rPr>
                <w:color w:val="000000" w:themeColor="text1"/>
                <w:sz w:val="22"/>
                <w:szCs w:val="22"/>
              </w:rPr>
              <w:t>%</w:t>
            </w:r>
          </w:p>
        </w:tc>
      </w:tr>
    </w:tbl>
    <w:p w:rsidR="00140E6B" w:rsidRPr="007501F9" w:rsidRDefault="00140E6B">
      <w:pPr>
        <w:spacing w:before="480" w:after="180"/>
        <w:rPr>
          <w:color w:val="000000" w:themeColor="text1"/>
        </w:rPr>
      </w:pPr>
    </w:p>
    <w:p w:rsidR="00140E6B" w:rsidRPr="007501F9" w:rsidRDefault="007501F9">
      <w:pPr>
        <w:pStyle w:val="Heading1"/>
        <w:rPr>
          <w:color w:val="000000" w:themeColor="text1"/>
        </w:rPr>
      </w:pPr>
      <w:r w:rsidRPr="007501F9">
        <w:rPr>
          <w:color w:val="000000" w:themeColor="text1"/>
        </w:rPr>
        <w:lastRenderedPageBreak/>
        <w:t>2. Completion and Performance Analysis</w:t>
      </w:r>
    </w:p>
    <w:p w:rsidR="00140E6B" w:rsidRPr="007501F9" w:rsidRDefault="007501F9">
      <w:pPr>
        <w:pStyle w:val="Heading2"/>
        <w:rPr>
          <w:color w:val="000000" w:themeColor="text1"/>
        </w:rPr>
      </w:pPr>
      <w:r w:rsidRPr="007501F9">
        <w:rPr>
          <w:color w:val="000000" w:themeColor="text1"/>
        </w:rPr>
        <w:t>2.1 Overall Completion Metrics</w:t>
      </w:r>
    </w:p>
    <w:p w:rsidR="00140E6B" w:rsidRPr="007501F9" w:rsidRDefault="007501F9">
      <w:pPr>
        <w:spacing w:after="240"/>
        <w:rPr>
          <w:color w:val="000000" w:themeColor="text1"/>
        </w:rPr>
      </w:pPr>
      <w:r w:rsidRPr="007501F9">
        <w:rPr>
          <w:color w:val="000000" w:themeColor="text1"/>
        </w:rPr>
        <w:t xml:space="preserve">The overall completion rate stands at </w:t>
      </w:r>
      <w:r w:rsidR="000E5D72" w:rsidRPr="007501F9">
        <w:rPr>
          <w:color w:val="000000" w:themeColor="text1"/>
          <w:sz w:val="22"/>
          <w:szCs w:val="22"/>
        </w:rPr>
        <w:t>79.38%</w:t>
      </w:r>
      <w:r w:rsidRPr="007501F9">
        <w:rPr>
          <w:color w:val="000000" w:themeColor="text1"/>
        </w:rPr>
        <w:t xml:space="preserve">, with </w:t>
      </w:r>
      <w:r w:rsidR="000E5D72" w:rsidRPr="007501F9">
        <w:rPr>
          <w:color w:val="000000" w:themeColor="text1"/>
        </w:rPr>
        <w:t>1104</w:t>
      </w:r>
      <w:r w:rsidRPr="007501F9">
        <w:rPr>
          <w:color w:val="000000" w:themeColor="text1"/>
        </w:rPr>
        <w:t xml:space="preserve"> courses completed out of </w:t>
      </w:r>
      <w:r w:rsidR="000E5D72" w:rsidRPr="007501F9">
        <w:rPr>
          <w:color w:val="000000" w:themeColor="text1"/>
        </w:rPr>
        <w:t>1390</w:t>
      </w:r>
      <w:r w:rsidRPr="007501F9">
        <w:rPr>
          <w:color w:val="000000" w:themeColor="text1"/>
        </w:rPr>
        <w:t xml:space="preserve"> enrollments. This represents a healthy completion ratio, though there is room for improvement. Notably, 14</w:t>
      </w:r>
      <w:r w:rsidRPr="007501F9">
        <w:rPr>
          <w:color w:val="000000" w:themeColor="text1"/>
        </w:rPr>
        <w:t xml:space="preserve"> members (</w:t>
      </w:r>
      <w:r w:rsidR="000E5D72" w:rsidRPr="007501F9">
        <w:rPr>
          <w:color w:val="000000" w:themeColor="text1"/>
        </w:rPr>
        <w:t>7.91</w:t>
      </w:r>
      <w:r w:rsidRPr="007501F9">
        <w:rPr>
          <w:color w:val="000000" w:themeColor="text1"/>
        </w:rPr>
        <w:t>%) have not completed any courses, suggesting v</w:t>
      </w:r>
      <w:r w:rsidRPr="007501F9">
        <w:rPr>
          <w:color w:val="000000" w:themeColor="text1"/>
        </w:rPr>
        <w:t>arying levels of commitment or potential barriers to completion.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40"/>
        <w:gridCol w:w="3120"/>
      </w:tblGrid>
      <w:tr w:rsidR="007501F9" w:rsidRPr="007501F9">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140E6B" w:rsidRPr="007501F9" w:rsidRDefault="007501F9">
            <w:pPr>
              <w:rPr>
                <w:color w:val="000000" w:themeColor="text1"/>
              </w:rPr>
            </w:pPr>
            <w:r w:rsidRPr="007501F9">
              <w:rPr>
                <w:b/>
                <w:bCs/>
                <w:color w:val="000000" w:themeColor="text1"/>
                <w:sz w:val="22"/>
                <w:szCs w:val="22"/>
              </w:rPr>
              <w:t>Completion Metric</w:t>
            </w:r>
          </w:p>
        </w:tc>
        <w:tc>
          <w:tcPr>
            <w:tcW w:w="312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140E6B" w:rsidRPr="007501F9" w:rsidRDefault="007501F9">
            <w:pPr>
              <w:rPr>
                <w:color w:val="000000" w:themeColor="text1"/>
              </w:rPr>
            </w:pPr>
            <w:r w:rsidRPr="007501F9">
              <w:rPr>
                <w:b/>
                <w:bCs/>
                <w:color w:val="000000" w:themeColor="text1"/>
                <w:sz w:val="22"/>
                <w:szCs w:val="22"/>
              </w:rPr>
              <w:t>Value</w:t>
            </w:r>
          </w:p>
        </w:tc>
      </w:tr>
      <w:tr w:rsidR="007501F9" w:rsidRPr="007501F9">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Average Completions per Member</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4.28</w:t>
            </w:r>
          </w:p>
        </w:tc>
      </w:tr>
      <w:tr w:rsidR="007501F9" w:rsidRPr="007501F9">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Members with Completions</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0E5D72">
            <w:pPr>
              <w:rPr>
                <w:color w:val="000000" w:themeColor="text1"/>
              </w:rPr>
            </w:pPr>
            <w:r w:rsidRPr="007501F9">
              <w:rPr>
                <w:color w:val="000000" w:themeColor="text1"/>
                <w:sz w:val="22"/>
                <w:szCs w:val="22"/>
              </w:rPr>
              <w:t>177</w:t>
            </w:r>
          </w:p>
        </w:tc>
      </w:tr>
      <w:tr w:rsidR="007501F9" w:rsidRPr="007501F9">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Members with Zero Completions</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0E5D72">
            <w:pPr>
              <w:rPr>
                <w:color w:val="000000" w:themeColor="text1"/>
              </w:rPr>
            </w:pPr>
            <w:r w:rsidRPr="007501F9">
              <w:rPr>
                <w:color w:val="000000" w:themeColor="text1"/>
                <w:sz w:val="22"/>
                <w:szCs w:val="22"/>
              </w:rPr>
              <w:t>14</w:t>
            </w:r>
          </w:p>
        </w:tc>
      </w:tr>
      <w:tr w:rsidR="007501F9" w:rsidRPr="007501F9">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Completion Success Rate</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63.4%</w:t>
            </w:r>
          </w:p>
        </w:tc>
      </w:tr>
    </w:tbl>
    <w:p w:rsidR="00140E6B" w:rsidRPr="007501F9" w:rsidRDefault="007501F9">
      <w:pPr>
        <w:pStyle w:val="Heading2"/>
        <w:rPr>
          <w:color w:val="000000" w:themeColor="text1"/>
        </w:rPr>
      </w:pPr>
      <w:r w:rsidRPr="007501F9">
        <w:rPr>
          <w:color w:val="000000" w:themeColor="text1"/>
        </w:rPr>
        <w:t>2.2 Top Performers by Enrollments</w:t>
      </w:r>
    </w:p>
    <w:p w:rsidR="00140E6B" w:rsidRPr="007501F9" w:rsidRDefault="007501F9">
      <w:pPr>
        <w:spacing w:after="240"/>
        <w:rPr>
          <w:color w:val="000000" w:themeColor="text1"/>
        </w:rPr>
      </w:pPr>
      <w:r w:rsidRPr="007501F9">
        <w:rPr>
          <w:color w:val="000000" w:themeColor="text1"/>
        </w:rPr>
        <w:t>The top 10 enrollers demonstrate exceptional engagement, with the leading member enrolling in 214 courses. This extraordinary level of participation reflects strong motivation and commitment to continuous learning. The top</w:t>
      </w:r>
      <w:r w:rsidRPr="007501F9">
        <w:rPr>
          <w:color w:val="000000" w:themeColor="text1"/>
        </w:rPr>
        <w:t xml:space="preserve"> performers span across different MBA batches, indicating consistent engagement across cohorts.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2340"/>
        <w:gridCol w:w="2340"/>
      </w:tblGrid>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140E6B" w:rsidRPr="007501F9" w:rsidRDefault="007501F9">
            <w:pPr>
              <w:rPr>
                <w:color w:val="000000" w:themeColor="text1"/>
              </w:rPr>
            </w:pPr>
            <w:r w:rsidRPr="007501F9">
              <w:rPr>
                <w:b/>
                <w:bCs/>
                <w:color w:val="000000" w:themeColor="text1"/>
                <w:sz w:val="22"/>
                <w:szCs w:val="22"/>
              </w:rPr>
              <w:t>Name</w:t>
            </w:r>
          </w:p>
        </w:tc>
        <w:tc>
          <w:tcPr>
            <w:tcW w:w="234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140E6B" w:rsidRPr="007501F9" w:rsidRDefault="007501F9">
            <w:pPr>
              <w:rPr>
                <w:color w:val="000000" w:themeColor="text1"/>
              </w:rPr>
            </w:pPr>
            <w:r w:rsidRPr="007501F9">
              <w:rPr>
                <w:b/>
                <w:bCs/>
                <w:color w:val="000000" w:themeColor="text1"/>
                <w:sz w:val="22"/>
                <w:szCs w:val="22"/>
              </w:rPr>
              <w:t>Enrolled</w:t>
            </w:r>
          </w:p>
        </w:tc>
        <w:tc>
          <w:tcPr>
            <w:tcW w:w="234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140E6B" w:rsidRPr="007501F9" w:rsidRDefault="007501F9">
            <w:pPr>
              <w:rPr>
                <w:color w:val="000000" w:themeColor="text1"/>
              </w:rPr>
            </w:pPr>
            <w:r w:rsidRPr="007501F9">
              <w:rPr>
                <w:b/>
                <w:bCs/>
                <w:color w:val="000000" w:themeColor="text1"/>
                <w:sz w:val="22"/>
                <w:szCs w:val="22"/>
              </w:rPr>
              <w:t>Program</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ABDUL AZEEZ YASIR</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214</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MBA-Batch2024-2</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MURALI KRISHNA Y</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47</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MBA-Batch2024-2</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P CHETHAN</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46</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MBA-Batch2024-2</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KAVYA</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45</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MBA-Batch2024-2</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AMULYA N U</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40</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MBA-Batch2024-2</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SAGAR S INACHI</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37</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MBA-Batch 2024-</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SUKESH K N</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36</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MBA-Batch2024-2</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CHANDAN M</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36</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MBA-Batch2024-2</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VINAYAK SUHAS</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36</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MBA-Batch2024-2</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CHAITRA G V</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33</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MBA-Batch2024-2</w:t>
            </w:r>
          </w:p>
        </w:tc>
      </w:tr>
    </w:tbl>
    <w:p w:rsidR="00140E6B" w:rsidRDefault="00140E6B">
      <w:pPr>
        <w:spacing w:before="360" w:after="240"/>
        <w:rPr>
          <w:color w:val="000000" w:themeColor="text1"/>
        </w:rPr>
      </w:pPr>
    </w:p>
    <w:p w:rsidR="007501F9" w:rsidRPr="007501F9" w:rsidRDefault="007501F9">
      <w:pPr>
        <w:spacing w:before="360" w:after="240"/>
        <w:rPr>
          <w:color w:val="000000" w:themeColor="text1"/>
        </w:rPr>
      </w:pPr>
      <w:bookmarkStart w:id="0" w:name="_GoBack"/>
      <w:bookmarkEnd w:id="0"/>
    </w:p>
    <w:p w:rsidR="00140E6B" w:rsidRPr="007501F9" w:rsidRDefault="007501F9">
      <w:pPr>
        <w:pStyle w:val="Heading2"/>
        <w:rPr>
          <w:color w:val="000000" w:themeColor="text1"/>
        </w:rPr>
      </w:pPr>
      <w:r w:rsidRPr="007501F9">
        <w:rPr>
          <w:color w:val="000000" w:themeColor="text1"/>
        </w:rPr>
        <w:lastRenderedPageBreak/>
        <w:t>2.3 Top Performers by Completions</w:t>
      </w:r>
    </w:p>
    <w:p w:rsidR="00140E6B" w:rsidRPr="007501F9" w:rsidRDefault="007501F9" w:rsidP="000E5D72">
      <w:pPr>
        <w:spacing w:after="240"/>
        <w:jc w:val="both"/>
        <w:rPr>
          <w:color w:val="000000" w:themeColor="text1"/>
        </w:rPr>
      </w:pPr>
      <w:r w:rsidRPr="007501F9">
        <w:rPr>
          <w:color w:val="000000" w:themeColor="text1"/>
        </w:rPr>
        <w:t>Completion performance varies significantly, with the top completer finishing 135 courses. The top 10 completers show completion counts ranging from 15 to 135, demonstrating both persistence and effective time management. These high achievers serve as mode</w:t>
      </w:r>
      <w:r w:rsidRPr="007501F9">
        <w:rPr>
          <w:color w:val="000000" w:themeColor="text1"/>
        </w:rPr>
        <w:t>ls for peer learning and mentorship.</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2340"/>
        <w:gridCol w:w="2340"/>
      </w:tblGrid>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140E6B" w:rsidRPr="007501F9" w:rsidRDefault="007501F9">
            <w:pPr>
              <w:rPr>
                <w:color w:val="000000" w:themeColor="text1"/>
              </w:rPr>
            </w:pPr>
            <w:r w:rsidRPr="007501F9">
              <w:rPr>
                <w:b/>
                <w:bCs/>
                <w:color w:val="000000" w:themeColor="text1"/>
                <w:sz w:val="22"/>
                <w:szCs w:val="22"/>
              </w:rPr>
              <w:t>Name</w:t>
            </w:r>
          </w:p>
        </w:tc>
        <w:tc>
          <w:tcPr>
            <w:tcW w:w="234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140E6B" w:rsidRPr="007501F9" w:rsidRDefault="007501F9">
            <w:pPr>
              <w:rPr>
                <w:color w:val="000000" w:themeColor="text1"/>
              </w:rPr>
            </w:pPr>
            <w:r w:rsidRPr="007501F9">
              <w:rPr>
                <w:b/>
                <w:bCs/>
                <w:color w:val="000000" w:themeColor="text1"/>
                <w:sz w:val="22"/>
                <w:szCs w:val="22"/>
              </w:rPr>
              <w:t>Completed</w:t>
            </w:r>
          </w:p>
        </w:tc>
        <w:tc>
          <w:tcPr>
            <w:tcW w:w="234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140E6B" w:rsidRPr="007501F9" w:rsidRDefault="007501F9">
            <w:pPr>
              <w:rPr>
                <w:color w:val="000000" w:themeColor="text1"/>
              </w:rPr>
            </w:pPr>
            <w:r w:rsidRPr="007501F9">
              <w:rPr>
                <w:b/>
                <w:bCs/>
                <w:color w:val="000000" w:themeColor="text1"/>
                <w:sz w:val="22"/>
                <w:szCs w:val="22"/>
              </w:rPr>
              <w:t>Program</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ABDUL AZEEZ YASIR</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135</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MBA-Batch2024-2</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MURALI KRISHNA Y</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27</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MBA-Batch2024-2</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SAMARTHA B S</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23</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MBA-Batch 2024-</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P CHETHAN</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21</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MBA-Batch2024-2</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SUKESH K N</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19</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MBA-Batch2024-2</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VARSHA V S</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19</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MBA-Batch2024-2</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CHANDAN M</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18</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MBA-Batch2024-2</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RAKSHITHA M R</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16</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MBA-Batch2024-2</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AMULYA N U</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16</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MBA-Batch2024-2</w:t>
            </w:r>
          </w:p>
        </w:tc>
      </w:tr>
      <w:tr w:rsidR="007501F9" w:rsidRPr="007501F9">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CHANNABASAVA S</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15</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MBA-Batch2024-2</w:t>
            </w:r>
          </w:p>
        </w:tc>
      </w:tr>
    </w:tbl>
    <w:p w:rsidR="00140E6B" w:rsidRPr="007501F9" w:rsidRDefault="007501F9">
      <w:pPr>
        <w:pStyle w:val="Heading1"/>
        <w:rPr>
          <w:color w:val="000000" w:themeColor="text1"/>
        </w:rPr>
      </w:pPr>
      <w:r w:rsidRPr="007501F9">
        <w:rPr>
          <w:color w:val="000000" w:themeColor="text1"/>
        </w:rPr>
        <w:t>3. Learning Time Investment</w:t>
      </w:r>
    </w:p>
    <w:p w:rsidR="00140E6B" w:rsidRPr="007501F9" w:rsidRDefault="007501F9">
      <w:pPr>
        <w:pStyle w:val="Heading2"/>
        <w:rPr>
          <w:color w:val="000000" w:themeColor="text1"/>
        </w:rPr>
      </w:pPr>
      <w:r w:rsidRPr="007501F9">
        <w:rPr>
          <w:color w:val="000000" w:themeColor="text1"/>
        </w:rPr>
        <w:t>3.1 Aggregate Learning Hours</w:t>
      </w:r>
    </w:p>
    <w:p w:rsidR="00140E6B" w:rsidRPr="007501F9" w:rsidRDefault="007501F9">
      <w:pPr>
        <w:spacing w:after="240"/>
        <w:rPr>
          <w:color w:val="000000" w:themeColor="text1"/>
        </w:rPr>
      </w:pPr>
      <w:r w:rsidRPr="007501F9">
        <w:rPr>
          <w:color w:val="000000" w:themeColor="text1"/>
        </w:rPr>
        <w:t>Members have collectively invested 3</w:t>
      </w:r>
      <w:r w:rsidRPr="007501F9">
        <w:rPr>
          <w:color w:val="000000" w:themeColor="text1"/>
        </w:rPr>
        <w:t>,457.94 learning hours, averaging 13.96 hours per member. This substantial time investment demonstrates serious commitment to professional development and skill enhancement. The variation in learning hours reflects diffe</w:t>
      </w:r>
      <w:r w:rsidRPr="007501F9">
        <w:rPr>
          <w:color w:val="000000" w:themeColor="text1"/>
        </w:rPr>
        <w:t>rent learning paces and course selections.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40"/>
        <w:gridCol w:w="3120"/>
      </w:tblGrid>
      <w:tr w:rsidR="007501F9" w:rsidRPr="007501F9">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140E6B" w:rsidRPr="007501F9" w:rsidRDefault="007501F9">
            <w:pPr>
              <w:rPr>
                <w:color w:val="000000" w:themeColor="text1"/>
              </w:rPr>
            </w:pPr>
            <w:r w:rsidRPr="007501F9">
              <w:rPr>
                <w:b/>
                <w:bCs/>
                <w:color w:val="000000" w:themeColor="text1"/>
                <w:sz w:val="22"/>
                <w:szCs w:val="22"/>
              </w:rPr>
              <w:t>Learning Hours Metric</w:t>
            </w:r>
          </w:p>
        </w:tc>
        <w:tc>
          <w:tcPr>
            <w:tcW w:w="312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140E6B" w:rsidRPr="007501F9" w:rsidRDefault="007501F9">
            <w:pPr>
              <w:rPr>
                <w:color w:val="000000" w:themeColor="text1"/>
              </w:rPr>
            </w:pPr>
            <w:r w:rsidRPr="007501F9">
              <w:rPr>
                <w:b/>
                <w:bCs/>
                <w:color w:val="000000" w:themeColor="text1"/>
                <w:sz w:val="22"/>
                <w:szCs w:val="22"/>
              </w:rPr>
              <w:t>Value</w:t>
            </w:r>
          </w:p>
        </w:tc>
      </w:tr>
      <w:tr w:rsidR="007501F9" w:rsidRPr="007501F9">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Total Learning Hours</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0E5D72">
            <w:pPr>
              <w:rPr>
                <w:color w:val="000000" w:themeColor="text1"/>
              </w:rPr>
            </w:pPr>
            <w:r w:rsidRPr="007501F9">
              <w:rPr>
                <w:color w:val="000000" w:themeColor="text1"/>
                <w:sz w:val="22"/>
                <w:szCs w:val="22"/>
              </w:rPr>
              <w:t>3,457.94 hours</w:t>
            </w:r>
          </w:p>
        </w:tc>
      </w:tr>
      <w:tr w:rsidR="007501F9" w:rsidRPr="007501F9">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Average Hours per Member</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 xml:space="preserve">13.96 </w:t>
            </w:r>
            <w:proofErr w:type="spellStart"/>
            <w:r w:rsidRPr="007501F9">
              <w:rPr>
                <w:color w:val="000000" w:themeColor="text1"/>
                <w:sz w:val="22"/>
                <w:szCs w:val="22"/>
              </w:rPr>
              <w:t>hrs</w:t>
            </w:r>
            <w:proofErr w:type="spellEnd"/>
          </w:p>
        </w:tc>
      </w:tr>
    </w:tbl>
    <w:p w:rsidR="00140E6B" w:rsidRPr="007501F9" w:rsidRDefault="007501F9">
      <w:pPr>
        <w:pStyle w:val="Heading2"/>
        <w:rPr>
          <w:color w:val="000000" w:themeColor="text1"/>
        </w:rPr>
      </w:pPr>
      <w:r w:rsidRPr="007501F9">
        <w:rPr>
          <w:color w:val="000000" w:themeColor="text1"/>
        </w:rPr>
        <w:t>3.2 Top Learners by Time Investment</w:t>
      </w:r>
    </w:p>
    <w:p w:rsidR="00140E6B" w:rsidRPr="007501F9" w:rsidRDefault="007501F9">
      <w:pPr>
        <w:spacing w:after="240"/>
        <w:rPr>
          <w:color w:val="000000" w:themeColor="text1"/>
        </w:rPr>
      </w:pPr>
      <w:r w:rsidRPr="007501F9">
        <w:rPr>
          <w:color w:val="000000" w:themeColor="text1"/>
        </w:rPr>
        <w:t xml:space="preserve">The top 10 learners by hours invested have each dedicated between 63 and 108 hours to their Coursera learning journey. Notably, one faculty member (Dr. Noor </w:t>
      </w:r>
      <w:proofErr w:type="spellStart"/>
      <w:r w:rsidRPr="007501F9">
        <w:rPr>
          <w:color w:val="000000" w:themeColor="text1"/>
        </w:rPr>
        <w:t>Firdoos</w:t>
      </w:r>
      <w:proofErr w:type="spellEnd"/>
      <w:r w:rsidRPr="007501F9">
        <w:rPr>
          <w:color w:val="000000" w:themeColor="text1"/>
        </w:rPr>
        <w:t xml:space="preserve"> Jahan) appears in this list with 82.48 hours, demonstrating that high engagement extends be</w:t>
      </w:r>
      <w:r w:rsidRPr="007501F9">
        <w:rPr>
          <w:color w:val="000000" w:themeColor="text1"/>
        </w:rPr>
        <w:t>yond student cohorts to faculty development as well.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16"/>
        <w:gridCol w:w="1872"/>
        <w:gridCol w:w="1872"/>
      </w:tblGrid>
      <w:tr w:rsidR="007501F9" w:rsidRPr="007501F9">
        <w:tblPrEx>
          <w:tblCellMar>
            <w:top w:w="0" w:type="dxa"/>
            <w:bottom w:w="0" w:type="dxa"/>
          </w:tblCellMar>
        </w:tblPrEx>
        <w:tc>
          <w:tcPr>
            <w:tcW w:w="5616"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140E6B" w:rsidRPr="007501F9" w:rsidRDefault="007501F9">
            <w:pPr>
              <w:rPr>
                <w:color w:val="000000" w:themeColor="text1"/>
              </w:rPr>
            </w:pPr>
            <w:r w:rsidRPr="007501F9">
              <w:rPr>
                <w:b/>
                <w:bCs/>
                <w:color w:val="000000" w:themeColor="text1"/>
                <w:sz w:val="22"/>
                <w:szCs w:val="22"/>
              </w:rPr>
              <w:lastRenderedPageBreak/>
              <w:t>Name</w:t>
            </w:r>
          </w:p>
        </w:tc>
        <w:tc>
          <w:tcPr>
            <w:tcW w:w="1872"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140E6B" w:rsidRPr="007501F9" w:rsidRDefault="007501F9">
            <w:pPr>
              <w:rPr>
                <w:color w:val="000000" w:themeColor="text1"/>
              </w:rPr>
            </w:pPr>
            <w:r w:rsidRPr="007501F9">
              <w:rPr>
                <w:b/>
                <w:bCs/>
                <w:color w:val="000000" w:themeColor="text1"/>
                <w:sz w:val="22"/>
                <w:szCs w:val="22"/>
              </w:rPr>
              <w:t>Hours</w:t>
            </w:r>
          </w:p>
        </w:tc>
        <w:tc>
          <w:tcPr>
            <w:tcW w:w="1872"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140E6B" w:rsidRPr="007501F9" w:rsidRDefault="007501F9">
            <w:pPr>
              <w:rPr>
                <w:color w:val="000000" w:themeColor="text1"/>
              </w:rPr>
            </w:pPr>
            <w:r w:rsidRPr="007501F9">
              <w:rPr>
                <w:b/>
                <w:bCs/>
                <w:color w:val="000000" w:themeColor="text1"/>
                <w:sz w:val="22"/>
                <w:szCs w:val="22"/>
              </w:rPr>
              <w:t>Category</w:t>
            </w:r>
          </w:p>
        </w:tc>
      </w:tr>
      <w:tr w:rsidR="007501F9" w:rsidRPr="007501F9">
        <w:tblPrEx>
          <w:tblCellMar>
            <w:top w:w="0" w:type="dxa"/>
            <w:bottom w:w="0" w:type="dxa"/>
          </w:tblCellMar>
        </w:tblPrEx>
        <w:tc>
          <w:tcPr>
            <w:tcW w:w="561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ABDUL AZEEZ YASIR</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108.1</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Student</w:t>
            </w:r>
          </w:p>
        </w:tc>
      </w:tr>
      <w:tr w:rsidR="007501F9" w:rsidRPr="007501F9">
        <w:tblPrEx>
          <w:tblCellMar>
            <w:top w:w="0" w:type="dxa"/>
            <w:bottom w:w="0" w:type="dxa"/>
          </w:tblCellMar>
        </w:tblPrEx>
        <w:tc>
          <w:tcPr>
            <w:tcW w:w="561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RAHUL GIRADDI</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102.35</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Student</w:t>
            </w:r>
          </w:p>
        </w:tc>
      </w:tr>
      <w:tr w:rsidR="007501F9" w:rsidRPr="007501F9">
        <w:tblPrEx>
          <w:tblCellMar>
            <w:top w:w="0" w:type="dxa"/>
            <w:bottom w:w="0" w:type="dxa"/>
          </w:tblCellMar>
        </w:tblPrEx>
        <w:tc>
          <w:tcPr>
            <w:tcW w:w="561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ANIL YOGAPPA HANJI</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82.58</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Student</w:t>
            </w:r>
          </w:p>
        </w:tc>
      </w:tr>
      <w:tr w:rsidR="007501F9" w:rsidRPr="007501F9">
        <w:tblPrEx>
          <w:tblCellMar>
            <w:top w:w="0" w:type="dxa"/>
            <w:bottom w:w="0" w:type="dxa"/>
          </w:tblCellMar>
        </w:tblPrEx>
        <w:tc>
          <w:tcPr>
            <w:tcW w:w="561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proofErr w:type="spellStart"/>
            <w:r w:rsidRPr="007501F9">
              <w:rPr>
                <w:color w:val="000000" w:themeColor="text1"/>
                <w:sz w:val="22"/>
                <w:szCs w:val="22"/>
              </w:rPr>
              <w:t>Dr.Noor</w:t>
            </w:r>
            <w:proofErr w:type="spellEnd"/>
            <w:r w:rsidRPr="007501F9">
              <w:rPr>
                <w:color w:val="000000" w:themeColor="text1"/>
                <w:sz w:val="22"/>
                <w:szCs w:val="22"/>
              </w:rPr>
              <w:t xml:space="preserve"> </w:t>
            </w:r>
            <w:proofErr w:type="spellStart"/>
            <w:r w:rsidRPr="007501F9">
              <w:rPr>
                <w:color w:val="000000" w:themeColor="text1"/>
                <w:sz w:val="22"/>
                <w:szCs w:val="22"/>
              </w:rPr>
              <w:t>Firdoos</w:t>
            </w:r>
            <w:proofErr w:type="spellEnd"/>
            <w:r w:rsidRPr="007501F9">
              <w:rPr>
                <w:color w:val="000000" w:themeColor="text1"/>
                <w:sz w:val="22"/>
                <w:szCs w:val="22"/>
              </w:rPr>
              <w:t xml:space="preserve"> Jahan</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82.48</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Faculty</w:t>
            </w:r>
          </w:p>
        </w:tc>
      </w:tr>
      <w:tr w:rsidR="007501F9" w:rsidRPr="007501F9">
        <w:tblPrEx>
          <w:tblCellMar>
            <w:top w:w="0" w:type="dxa"/>
            <w:bottom w:w="0" w:type="dxa"/>
          </w:tblCellMar>
        </w:tblPrEx>
        <w:tc>
          <w:tcPr>
            <w:tcW w:w="561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RAKSHITH HIPPARAGI</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77.39</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Student</w:t>
            </w:r>
          </w:p>
        </w:tc>
      </w:tr>
      <w:tr w:rsidR="007501F9" w:rsidRPr="007501F9">
        <w:tblPrEx>
          <w:tblCellMar>
            <w:top w:w="0" w:type="dxa"/>
            <w:bottom w:w="0" w:type="dxa"/>
          </w:tblCellMar>
        </w:tblPrEx>
        <w:tc>
          <w:tcPr>
            <w:tcW w:w="561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CHAITRA G V</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74.32</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Student</w:t>
            </w:r>
          </w:p>
        </w:tc>
      </w:tr>
      <w:tr w:rsidR="007501F9" w:rsidRPr="007501F9">
        <w:tblPrEx>
          <w:tblCellMar>
            <w:top w:w="0" w:type="dxa"/>
            <w:bottom w:w="0" w:type="dxa"/>
          </w:tblCellMar>
        </w:tblPrEx>
        <w:tc>
          <w:tcPr>
            <w:tcW w:w="561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SAMARTHA B S</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72.26</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Student</w:t>
            </w:r>
          </w:p>
        </w:tc>
      </w:tr>
      <w:tr w:rsidR="007501F9" w:rsidRPr="007501F9">
        <w:tblPrEx>
          <w:tblCellMar>
            <w:top w:w="0" w:type="dxa"/>
            <w:bottom w:w="0" w:type="dxa"/>
          </w:tblCellMar>
        </w:tblPrEx>
        <w:tc>
          <w:tcPr>
            <w:tcW w:w="561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proofErr w:type="spellStart"/>
            <w:r w:rsidRPr="007501F9">
              <w:rPr>
                <w:color w:val="000000" w:themeColor="text1"/>
                <w:sz w:val="22"/>
                <w:szCs w:val="22"/>
              </w:rPr>
              <w:t>Swaraj</w:t>
            </w:r>
            <w:proofErr w:type="spellEnd"/>
            <w:r w:rsidRPr="007501F9">
              <w:rPr>
                <w:color w:val="000000" w:themeColor="text1"/>
                <w:sz w:val="22"/>
                <w:szCs w:val="22"/>
              </w:rPr>
              <w:t xml:space="preserve"> Bharti</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67.24</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Faculty</w:t>
            </w:r>
          </w:p>
        </w:tc>
      </w:tr>
      <w:tr w:rsidR="007501F9" w:rsidRPr="007501F9">
        <w:tblPrEx>
          <w:tblCellMar>
            <w:top w:w="0" w:type="dxa"/>
            <w:bottom w:w="0" w:type="dxa"/>
          </w:tblCellMar>
        </w:tblPrEx>
        <w:tc>
          <w:tcPr>
            <w:tcW w:w="561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RAVI KUMAR</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64.58</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Student</w:t>
            </w:r>
          </w:p>
        </w:tc>
      </w:tr>
      <w:tr w:rsidR="007501F9" w:rsidRPr="007501F9">
        <w:tblPrEx>
          <w:tblCellMar>
            <w:top w:w="0" w:type="dxa"/>
            <w:bottom w:w="0" w:type="dxa"/>
          </w:tblCellMar>
        </w:tblPrEx>
        <w:tc>
          <w:tcPr>
            <w:tcW w:w="561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CHANDAN M</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63.16</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Student</w:t>
            </w:r>
          </w:p>
        </w:tc>
      </w:tr>
    </w:tbl>
    <w:p w:rsidR="00140E6B" w:rsidRPr="007501F9" w:rsidRDefault="007501F9">
      <w:pPr>
        <w:pStyle w:val="Heading1"/>
        <w:rPr>
          <w:color w:val="000000" w:themeColor="text1"/>
        </w:rPr>
      </w:pPr>
      <w:r w:rsidRPr="007501F9">
        <w:rPr>
          <w:color w:val="000000" w:themeColor="text1"/>
        </w:rPr>
        <w:t>5. Engagement Insights and Patterns</w:t>
      </w:r>
    </w:p>
    <w:p w:rsidR="00140E6B" w:rsidRPr="007501F9" w:rsidRDefault="007501F9">
      <w:pPr>
        <w:pStyle w:val="Heading2"/>
        <w:rPr>
          <w:color w:val="000000" w:themeColor="text1"/>
        </w:rPr>
      </w:pPr>
      <w:r w:rsidRPr="007501F9">
        <w:rPr>
          <w:color w:val="000000" w:themeColor="text1"/>
        </w:rPr>
        <w:t>5.1 Engagement Segmentation</w:t>
      </w:r>
    </w:p>
    <w:p w:rsidR="00140E6B" w:rsidRPr="007501F9" w:rsidRDefault="007501F9">
      <w:pPr>
        <w:spacing w:after="240"/>
        <w:rPr>
          <w:color w:val="000000" w:themeColor="text1"/>
        </w:rPr>
      </w:pPr>
      <w:r w:rsidRPr="007501F9">
        <w:rPr>
          <w:color w:val="000000" w:themeColor="text1"/>
        </w:rPr>
        <w:t>The member base can be segmented into distinct engagement categories. High performers show exceptional dedication with 15+ completions, w</w:t>
      </w:r>
      <w:r w:rsidRPr="007501F9">
        <w:rPr>
          <w:color w:val="000000" w:themeColor="text1"/>
        </w:rPr>
        <w:t>hile a significant portion (36.6%) shows zero completions. Understanding these segments enables targeted interventions to boost overall program success.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40"/>
        <w:gridCol w:w="3120"/>
      </w:tblGrid>
      <w:tr w:rsidR="007501F9" w:rsidRPr="007501F9">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140E6B" w:rsidRPr="007501F9" w:rsidRDefault="007501F9">
            <w:pPr>
              <w:rPr>
                <w:color w:val="000000" w:themeColor="text1"/>
              </w:rPr>
            </w:pPr>
            <w:r w:rsidRPr="007501F9">
              <w:rPr>
                <w:b/>
                <w:bCs/>
                <w:color w:val="000000" w:themeColor="text1"/>
                <w:sz w:val="22"/>
                <w:szCs w:val="22"/>
              </w:rPr>
              <w:t>Engagement Segment</w:t>
            </w:r>
          </w:p>
        </w:tc>
        <w:tc>
          <w:tcPr>
            <w:tcW w:w="312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140E6B" w:rsidRPr="007501F9" w:rsidRDefault="007501F9">
            <w:pPr>
              <w:rPr>
                <w:color w:val="000000" w:themeColor="text1"/>
              </w:rPr>
            </w:pPr>
            <w:r w:rsidRPr="007501F9">
              <w:rPr>
                <w:b/>
                <w:bCs/>
                <w:color w:val="000000" w:themeColor="text1"/>
                <w:sz w:val="22"/>
                <w:szCs w:val="22"/>
              </w:rPr>
              <w:t>Count</w:t>
            </w:r>
          </w:p>
        </w:tc>
      </w:tr>
      <w:tr w:rsidR="007501F9" w:rsidRPr="007501F9">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High Achievers (15+ completions)</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8 members (2.0%)</w:t>
            </w:r>
          </w:p>
        </w:tc>
      </w:tr>
      <w:tr w:rsidR="007501F9" w:rsidRPr="007501F9">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Active Learners (5-14 completions)</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74 members (18.9%)</w:t>
            </w:r>
          </w:p>
        </w:tc>
      </w:tr>
      <w:tr w:rsidR="007501F9" w:rsidRPr="007501F9">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Moderate Users (1-4 completions)</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66 members (42.5%)</w:t>
            </w:r>
          </w:p>
        </w:tc>
      </w:tr>
      <w:tr w:rsidR="007501F9" w:rsidRPr="007501F9">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Non-Completers (0 completions)</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140E6B" w:rsidRPr="007501F9" w:rsidRDefault="007501F9">
            <w:pPr>
              <w:rPr>
                <w:color w:val="000000" w:themeColor="text1"/>
              </w:rPr>
            </w:pPr>
            <w:r w:rsidRPr="007501F9">
              <w:rPr>
                <w:color w:val="000000" w:themeColor="text1"/>
                <w:sz w:val="22"/>
                <w:szCs w:val="22"/>
              </w:rPr>
              <w:t>43 members (36.6%)</w:t>
            </w:r>
          </w:p>
        </w:tc>
      </w:tr>
    </w:tbl>
    <w:p w:rsidR="00140E6B" w:rsidRPr="007501F9" w:rsidRDefault="007501F9">
      <w:pPr>
        <w:pStyle w:val="Heading1"/>
        <w:rPr>
          <w:color w:val="000000" w:themeColor="text1"/>
        </w:rPr>
      </w:pPr>
      <w:r w:rsidRPr="007501F9">
        <w:rPr>
          <w:color w:val="000000" w:themeColor="text1"/>
        </w:rPr>
        <w:t>7. Conclusion</w:t>
      </w:r>
    </w:p>
    <w:p w:rsidR="00140E6B" w:rsidRPr="007501F9" w:rsidRDefault="007501F9" w:rsidP="007501F9">
      <w:pPr>
        <w:spacing w:after="240"/>
        <w:jc w:val="both"/>
        <w:rPr>
          <w:color w:val="000000" w:themeColor="text1"/>
        </w:rPr>
      </w:pPr>
      <w:r w:rsidRPr="007501F9">
        <w:rPr>
          <w:color w:val="000000" w:themeColor="text1"/>
        </w:rPr>
        <w:t>The Coursera program activity data reveals a vibrant learning ecosys</w:t>
      </w:r>
      <w:r w:rsidRPr="007501F9">
        <w:rPr>
          <w:color w:val="000000" w:themeColor="text1"/>
        </w:rPr>
        <w:t>tem at R. V. Institute of Management, with 1</w:t>
      </w:r>
      <w:r w:rsidRPr="007501F9">
        <w:rPr>
          <w:color w:val="000000" w:themeColor="text1"/>
        </w:rPr>
        <w:t>91 members collectively investing over 3</w:t>
      </w:r>
      <w:r w:rsidRPr="007501F9">
        <w:rPr>
          <w:color w:val="000000" w:themeColor="text1"/>
        </w:rPr>
        <w:t>,400 hours in professional development. The 7</w:t>
      </w:r>
      <w:r w:rsidRPr="007501F9">
        <w:rPr>
          <w:color w:val="000000" w:themeColor="text1"/>
        </w:rPr>
        <w:t>9.38% completion rate, while respectable, indicates significant opportunity for improvement through strategic interventions.</w:t>
      </w:r>
    </w:p>
    <w:p w:rsidR="00140E6B" w:rsidRPr="007501F9" w:rsidRDefault="007501F9" w:rsidP="007501F9">
      <w:pPr>
        <w:spacing w:after="240"/>
        <w:jc w:val="both"/>
        <w:rPr>
          <w:color w:val="000000" w:themeColor="text1"/>
        </w:rPr>
      </w:pPr>
      <w:r w:rsidRPr="007501F9">
        <w:rPr>
          <w:color w:val="000000" w:themeColor="text1"/>
        </w:rPr>
        <w:t>Th</w:t>
      </w:r>
      <w:r w:rsidRPr="007501F9">
        <w:rPr>
          <w:color w:val="000000" w:themeColor="text1"/>
        </w:rPr>
        <w:t xml:space="preserve">e presence of exceptional performers </w:t>
      </w:r>
      <w:r w:rsidRPr="007501F9">
        <w:rPr>
          <w:color w:val="000000" w:themeColor="text1"/>
        </w:rPr>
        <w:t>demonstrates that the platform enables transformative learning experiences. By studying these success patterns and implementing targeted support for underperfo</w:t>
      </w:r>
      <w:r w:rsidRPr="007501F9">
        <w:rPr>
          <w:color w:val="000000" w:themeColor="text1"/>
        </w:rPr>
        <w:t>rming segments, the institution can elevate outcomes across all member categories.</w:t>
      </w:r>
    </w:p>
    <w:sectPr w:rsidR="00140E6B" w:rsidRPr="007501F9">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090583"/>
    <w:multiLevelType w:val="hybridMultilevel"/>
    <w:tmpl w:val="4D3082B4"/>
    <w:lvl w:ilvl="0" w:tplc="B14EADC8">
      <w:start w:val="1"/>
      <w:numFmt w:val="bullet"/>
      <w:lvlText w:val="●"/>
      <w:lvlJc w:val="left"/>
      <w:pPr>
        <w:ind w:left="720" w:hanging="360"/>
      </w:pPr>
    </w:lvl>
    <w:lvl w:ilvl="1" w:tplc="555E72B2">
      <w:start w:val="1"/>
      <w:numFmt w:val="bullet"/>
      <w:lvlText w:val="○"/>
      <w:lvlJc w:val="left"/>
      <w:pPr>
        <w:ind w:left="1440" w:hanging="360"/>
      </w:pPr>
    </w:lvl>
    <w:lvl w:ilvl="2" w:tplc="ADAAD0A2">
      <w:start w:val="1"/>
      <w:numFmt w:val="bullet"/>
      <w:lvlText w:val="■"/>
      <w:lvlJc w:val="left"/>
      <w:pPr>
        <w:ind w:left="2160" w:hanging="360"/>
      </w:pPr>
    </w:lvl>
    <w:lvl w:ilvl="3" w:tplc="7E5C0FC4">
      <w:start w:val="1"/>
      <w:numFmt w:val="bullet"/>
      <w:lvlText w:val="●"/>
      <w:lvlJc w:val="left"/>
      <w:pPr>
        <w:ind w:left="2880" w:hanging="360"/>
      </w:pPr>
    </w:lvl>
    <w:lvl w:ilvl="4" w:tplc="1368E142">
      <w:start w:val="1"/>
      <w:numFmt w:val="bullet"/>
      <w:lvlText w:val="○"/>
      <w:lvlJc w:val="left"/>
      <w:pPr>
        <w:ind w:left="3600" w:hanging="360"/>
      </w:pPr>
    </w:lvl>
    <w:lvl w:ilvl="5" w:tplc="44CCB69E">
      <w:start w:val="1"/>
      <w:numFmt w:val="bullet"/>
      <w:lvlText w:val="■"/>
      <w:lvlJc w:val="left"/>
      <w:pPr>
        <w:ind w:left="4320" w:hanging="360"/>
      </w:pPr>
    </w:lvl>
    <w:lvl w:ilvl="6" w:tplc="81B0BB02">
      <w:start w:val="1"/>
      <w:numFmt w:val="bullet"/>
      <w:lvlText w:val="●"/>
      <w:lvlJc w:val="left"/>
      <w:pPr>
        <w:ind w:left="5040" w:hanging="360"/>
      </w:pPr>
    </w:lvl>
    <w:lvl w:ilvl="7" w:tplc="D0C6C70A">
      <w:start w:val="1"/>
      <w:numFmt w:val="bullet"/>
      <w:lvlText w:val="●"/>
      <w:lvlJc w:val="left"/>
      <w:pPr>
        <w:ind w:left="5760" w:hanging="360"/>
      </w:pPr>
    </w:lvl>
    <w:lvl w:ilvl="8" w:tplc="3E72181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E6B"/>
    <w:rsid w:val="000E5D72"/>
    <w:rsid w:val="00140E6B"/>
    <w:rsid w:val="007501F9"/>
    <w:rsid w:val="008C7BEC"/>
    <w:rsid w:val="00BF3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CEFD9"/>
  <w15:docId w15:val="{5CA842FE-DA38-42AD-9E5E-F7B0268BD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spacing w:before="360" w:after="240"/>
      <w:outlineLvl w:val="0"/>
    </w:pPr>
    <w:rPr>
      <w:b/>
      <w:bCs/>
      <w:color w:val="1F4E78"/>
      <w:sz w:val="32"/>
      <w:szCs w:val="32"/>
    </w:rPr>
  </w:style>
  <w:style w:type="paragraph" w:styleId="Heading2">
    <w:name w:val="heading 2"/>
    <w:qFormat/>
    <w:pPr>
      <w:spacing w:before="280" w:after="180"/>
      <w:outlineLvl w:val="1"/>
    </w:pPr>
    <w:rPr>
      <w:b/>
      <w:bCs/>
      <w:color w:val="2E5C8A"/>
      <w:sz w:val="28"/>
      <w:szCs w:val="28"/>
    </w:rPr>
  </w:style>
  <w:style w:type="paragraph" w:styleId="Heading3">
    <w:name w:val="heading 3"/>
    <w:qFormat/>
    <w:pPr>
      <w:outlineLvl w:val="2"/>
    </w:pPr>
    <w:rPr>
      <w:color w:val="1F4D78"/>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874</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4</cp:revision>
  <dcterms:created xsi:type="dcterms:W3CDTF">2026-02-04T06:05:00Z</dcterms:created>
  <dcterms:modified xsi:type="dcterms:W3CDTF">2026-02-04T07:32:00Z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65a06d2c-4d0e-44e5-9d73-41164f64a053</vt:lpwstr>
  </property>
</Properties>
</file>