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3CD" w:rsidRDefault="00234491">
      <w:pPr>
        <w:spacing w:after="400"/>
        <w:jc w:val="center"/>
      </w:pPr>
      <w:r>
        <w:rPr>
          <w:b/>
          <w:bCs/>
          <w:color w:val="1F4788"/>
          <w:sz w:val="36"/>
          <w:szCs w:val="36"/>
        </w:rPr>
        <w:t>CAREER DEVELOPMENT ALLOWANCE POLICY</w:t>
      </w:r>
    </w:p>
    <w:p w:rsidR="00DF63CD" w:rsidRDefault="00234491">
      <w:pPr>
        <w:spacing w:after="400"/>
        <w:jc w:val="center"/>
      </w:pPr>
      <w:r>
        <w:rPr>
          <w:i/>
          <w:iCs/>
          <w:color w:val="2E5C9A"/>
          <w:sz w:val="28"/>
          <w:szCs w:val="28"/>
        </w:rPr>
        <w:t>An Institutional Distinctive Practice</w:t>
      </w:r>
    </w:p>
    <w:p w:rsidR="00DF63CD" w:rsidRDefault="00234491">
      <w:pPr>
        <w:spacing w:after="600"/>
        <w:jc w:val="center"/>
      </w:pPr>
      <w:r>
        <w:t>RV Institute of Management</w:t>
      </w:r>
    </w:p>
    <w:p w:rsidR="00DF63CD" w:rsidRDefault="00234491">
      <w:pPr>
        <w:pStyle w:val="Heading1"/>
      </w:pPr>
      <w:r>
        <w:t>1. Overview of the Practice</w:t>
      </w:r>
    </w:p>
    <w:p w:rsidR="00DF63CD" w:rsidRDefault="00234491" w:rsidP="00234491">
      <w:pPr>
        <w:spacing w:after="200"/>
        <w:jc w:val="both"/>
      </w:pPr>
      <w:r>
        <w:t>The Career Development Allowance (CDA) Policy at RV Institute of Management represents a strategic institutional commitment to fostering academic excellence through systematic support for faculty professional development. Effective from January 1, 2025, th</w:t>
      </w:r>
      <w:r>
        <w:t>is policy exemplifies the institute's vision to emerge as a research-driven institution where teaching is led by research and faculty engage in meaningful, relevant scholarly work.</w:t>
      </w:r>
    </w:p>
    <w:p w:rsidR="00DF63CD" w:rsidRDefault="00234491">
      <w:pPr>
        <w:pStyle w:val="Heading1"/>
      </w:pPr>
      <w:r>
        <w:t>2. Distinctive Features of the Practice</w:t>
      </w:r>
    </w:p>
    <w:p w:rsidR="00DF63CD" w:rsidRDefault="00234491">
      <w:pPr>
        <w:pStyle w:val="Heading2"/>
      </w:pPr>
      <w:r>
        <w:t>2.1 Comprehensive Financial Support</w:t>
      </w:r>
      <w:r>
        <w:t xml:space="preserve"> Framework</w:t>
      </w:r>
    </w:p>
    <w:p w:rsidR="00DF63CD" w:rsidRDefault="00234491" w:rsidP="00234491">
      <w:pPr>
        <w:spacing w:after="200"/>
        <w:jc w:val="both"/>
      </w:pPr>
      <w:r>
        <w:t>RVIM's CDA policy stands out through its tiered funding structure that recognizes different employment statuses while ensuring equitable access to professional development opportunities: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08"/>
        <w:gridCol w:w="1805"/>
        <w:gridCol w:w="1951"/>
        <w:gridCol w:w="1694"/>
      </w:tblGrid>
      <w:tr w:rsidR="00DF63CD">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20" w:type="dxa"/>
              <w:bottom w:w="120" w:type="dxa"/>
              <w:right w:w="120" w:type="dxa"/>
            </w:tcMar>
          </w:tcPr>
          <w:p w:rsidR="00DF63CD" w:rsidRDefault="00234491">
            <w:pPr>
              <w:jc w:val="center"/>
            </w:pPr>
            <w:r>
              <w:rPr>
                <w:b/>
                <w:bCs/>
                <w:color w:val="FFFFFF"/>
              </w:rPr>
              <w:t>Event Type</w:t>
            </w:r>
          </w:p>
        </w:tc>
        <w:tc>
          <w:tcPr>
            <w:tcW w:w="220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20" w:type="dxa"/>
              <w:bottom w:w="120" w:type="dxa"/>
              <w:right w:w="120" w:type="dxa"/>
            </w:tcMar>
          </w:tcPr>
          <w:p w:rsidR="00DF63CD" w:rsidRDefault="00234491">
            <w:pPr>
              <w:jc w:val="center"/>
            </w:pPr>
            <w:r>
              <w:rPr>
                <w:b/>
                <w:bCs/>
                <w:color w:val="FFFFFF"/>
              </w:rPr>
              <w:t>Confirmed Faculty</w:t>
            </w:r>
          </w:p>
        </w:tc>
        <w:tc>
          <w:tcPr>
            <w:tcW w:w="220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20" w:type="dxa"/>
              <w:bottom w:w="120" w:type="dxa"/>
              <w:right w:w="120" w:type="dxa"/>
            </w:tcMar>
          </w:tcPr>
          <w:p w:rsidR="00DF63CD" w:rsidRDefault="00234491">
            <w:pPr>
              <w:jc w:val="center"/>
            </w:pPr>
            <w:r>
              <w:rPr>
                <w:b/>
                <w:bCs/>
                <w:color w:val="FFFFFF"/>
              </w:rPr>
              <w:t>Probationary (75%)</w:t>
            </w:r>
          </w:p>
        </w:tc>
        <w:tc>
          <w:tcPr>
            <w:tcW w:w="2200" w:type="dxa"/>
            <w:tcBorders>
              <w:top w:val="single" w:sz="1" w:space="0" w:color="CCCCCC"/>
              <w:left w:val="single" w:sz="1" w:space="0" w:color="CCCCCC"/>
              <w:bottom w:val="single" w:sz="1" w:space="0" w:color="CCCCCC"/>
              <w:right w:val="single" w:sz="1" w:space="0" w:color="CCCCCC"/>
            </w:tcBorders>
            <w:shd w:val="clear" w:color="auto" w:fill="1F4788"/>
            <w:tcMar>
              <w:top w:w="120" w:type="dxa"/>
              <w:left w:w="120" w:type="dxa"/>
              <w:bottom w:w="120" w:type="dxa"/>
              <w:right w:w="120" w:type="dxa"/>
            </w:tcMar>
          </w:tcPr>
          <w:p w:rsidR="00DF63CD" w:rsidRDefault="00234491">
            <w:pPr>
              <w:jc w:val="center"/>
            </w:pPr>
            <w:r>
              <w:rPr>
                <w:b/>
                <w:bCs/>
                <w:color w:val="FFFFFF"/>
              </w:rPr>
              <w:t>Contract (</w:t>
            </w:r>
            <w:r>
              <w:rPr>
                <w:b/>
                <w:bCs/>
                <w:color w:val="FFFFFF"/>
              </w:rPr>
              <w:t>50%)</w:t>
            </w:r>
          </w:p>
        </w:tc>
      </w:tr>
      <w:tr w:rsidR="00DF63CD">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DF63CD" w:rsidRDefault="00234491">
            <w:r>
              <w:t>International Conferences (Outside India)</w:t>
            </w:r>
          </w:p>
        </w:tc>
        <w:tc>
          <w:tcPr>
            <w:tcW w:w="220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DF63CD" w:rsidRDefault="00234491">
            <w:pPr>
              <w:jc w:val="center"/>
            </w:pPr>
            <w:r>
              <w:t>₹</w:t>
            </w:r>
            <w:r>
              <w:t>1,00,000</w:t>
            </w:r>
          </w:p>
        </w:tc>
        <w:tc>
          <w:tcPr>
            <w:tcW w:w="220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DF63CD" w:rsidRDefault="00234491">
            <w:pPr>
              <w:jc w:val="center"/>
            </w:pPr>
            <w:r>
              <w:t>₹</w:t>
            </w:r>
            <w:r>
              <w:t>75,000</w:t>
            </w:r>
          </w:p>
        </w:tc>
        <w:tc>
          <w:tcPr>
            <w:tcW w:w="220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DF63CD" w:rsidRDefault="00234491">
            <w:pPr>
              <w:jc w:val="center"/>
            </w:pPr>
            <w:r>
              <w:t>₹</w:t>
            </w:r>
            <w:r>
              <w:t>50,000</w:t>
            </w:r>
          </w:p>
        </w:tc>
      </w:tr>
      <w:tr w:rsidR="00DF63CD">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2F2F2"/>
            <w:tcMar>
              <w:top w:w="100" w:type="dxa"/>
              <w:left w:w="120" w:type="dxa"/>
              <w:bottom w:w="100" w:type="dxa"/>
              <w:right w:w="120" w:type="dxa"/>
            </w:tcMar>
          </w:tcPr>
          <w:p w:rsidR="00DF63CD" w:rsidRDefault="00234491">
            <w:r>
              <w:t>National/International Conferences (Within India)</w:t>
            </w:r>
          </w:p>
        </w:tc>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100" w:type="dxa"/>
              <w:left w:w="120" w:type="dxa"/>
              <w:bottom w:w="100" w:type="dxa"/>
              <w:right w:w="120" w:type="dxa"/>
            </w:tcMar>
          </w:tcPr>
          <w:p w:rsidR="00DF63CD" w:rsidRDefault="00234491">
            <w:pPr>
              <w:jc w:val="center"/>
            </w:pPr>
            <w:r>
              <w:t>₹</w:t>
            </w:r>
            <w:r>
              <w:t>50,000</w:t>
            </w:r>
          </w:p>
        </w:tc>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100" w:type="dxa"/>
              <w:left w:w="120" w:type="dxa"/>
              <w:bottom w:w="100" w:type="dxa"/>
              <w:right w:w="120" w:type="dxa"/>
            </w:tcMar>
          </w:tcPr>
          <w:p w:rsidR="00DF63CD" w:rsidRDefault="00234491">
            <w:pPr>
              <w:jc w:val="center"/>
            </w:pPr>
            <w:r>
              <w:t>₹</w:t>
            </w:r>
            <w:r>
              <w:t>37,500</w:t>
            </w:r>
          </w:p>
        </w:tc>
        <w:tc>
          <w:tcPr>
            <w:tcW w:w="2200" w:type="dxa"/>
            <w:tcBorders>
              <w:top w:val="single" w:sz="1" w:space="0" w:color="CCCCCC"/>
              <w:left w:val="single" w:sz="1" w:space="0" w:color="CCCCCC"/>
              <w:bottom w:val="single" w:sz="1" w:space="0" w:color="CCCCCC"/>
              <w:right w:val="single" w:sz="1" w:space="0" w:color="CCCCCC"/>
            </w:tcBorders>
            <w:shd w:val="clear" w:color="auto" w:fill="F2F2F2"/>
            <w:tcMar>
              <w:top w:w="100" w:type="dxa"/>
              <w:left w:w="120" w:type="dxa"/>
              <w:bottom w:w="100" w:type="dxa"/>
              <w:right w:w="120" w:type="dxa"/>
            </w:tcMar>
          </w:tcPr>
          <w:p w:rsidR="00DF63CD" w:rsidRDefault="00234491">
            <w:pPr>
              <w:jc w:val="center"/>
            </w:pPr>
            <w:r>
              <w:t>₹</w:t>
            </w:r>
            <w:r>
              <w:t>25,000</w:t>
            </w:r>
          </w:p>
        </w:tc>
      </w:tr>
      <w:tr w:rsidR="00DF63CD">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DF63CD" w:rsidRDefault="00234491">
            <w:r>
              <w:t>FDPs/MDPs/Seminars/Workshops</w:t>
            </w:r>
          </w:p>
        </w:tc>
        <w:tc>
          <w:tcPr>
            <w:tcW w:w="220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DF63CD" w:rsidRDefault="00234491">
            <w:pPr>
              <w:jc w:val="center"/>
            </w:pPr>
            <w:r>
              <w:t>₹</w:t>
            </w:r>
            <w:r>
              <w:t>50,000</w:t>
            </w:r>
          </w:p>
        </w:tc>
        <w:tc>
          <w:tcPr>
            <w:tcW w:w="220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DF63CD" w:rsidRDefault="00234491">
            <w:pPr>
              <w:jc w:val="center"/>
            </w:pPr>
            <w:r>
              <w:t>₹</w:t>
            </w:r>
            <w:r>
              <w:t>37,500</w:t>
            </w:r>
          </w:p>
        </w:tc>
        <w:tc>
          <w:tcPr>
            <w:tcW w:w="2200" w:type="dxa"/>
            <w:tcBorders>
              <w:top w:val="single" w:sz="1" w:space="0" w:color="CCCCCC"/>
              <w:left w:val="single" w:sz="1" w:space="0" w:color="CCCCCC"/>
              <w:bottom w:val="single" w:sz="1" w:space="0" w:color="CCCCCC"/>
              <w:right w:val="single" w:sz="1" w:space="0" w:color="CCCCCC"/>
            </w:tcBorders>
            <w:tcMar>
              <w:top w:w="100" w:type="dxa"/>
              <w:left w:w="120" w:type="dxa"/>
              <w:bottom w:w="100" w:type="dxa"/>
              <w:right w:w="120" w:type="dxa"/>
            </w:tcMar>
          </w:tcPr>
          <w:p w:rsidR="00DF63CD" w:rsidRDefault="00234491">
            <w:pPr>
              <w:jc w:val="center"/>
            </w:pPr>
            <w:r>
              <w:t>₹</w:t>
            </w:r>
            <w:r>
              <w:t>25,000</w:t>
            </w:r>
          </w:p>
        </w:tc>
      </w:tr>
    </w:tbl>
    <w:p w:rsidR="00DF63CD" w:rsidRDefault="00234491">
      <w:pPr>
        <w:spacing w:before="300" w:after="200"/>
      </w:pPr>
      <w:r>
        <w:t>Faculty members can avail funding for one international and one national conference per financial year, ensuring sustained engagement with the academic community.</w:t>
      </w:r>
    </w:p>
    <w:p w:rsidR="00DF63CD" w:rsidRDefault="00234491">
      <w:pPr>
        <w:pStyle w:val="Heading2"/>
      </w:pPr>
      <w:r>
        <w:t>2.2 Strategic Alignment with Institutional Vision</w:t>
      </w:r>
    </w:p>
    <w:p w:rsidR="00DF63CD" w:rsidRDefault="00234491" w:rsidP="00234491">
      <w:pPr>
        <w:spacing w:after="120"/>
        <w:jc w:val="both"/>
      </w:pPr>
      <w:r>
        <w:t>The CDA policy distinctively aligns with RV</w:t>
      </w:r>
      <w:r>
        <w:t>IM's core objectives through:</w:t>
      </w:r>
    </w:p>
    <w:p w:rsidR="00DF63CD" w:rsidRDefault="00234491" w:rsidP="00234491">
      <w:pPr>
        <w:pStyle w:val="ListParagraph"/>
        <w:numPr>
          <w:ilvl w:val="0"/>
          <w:numId w:val="2"/>
        </w:numPr>
        <w:jc w:val="both"/>
      </w:pPr>
      <w:r>
        <w:t>Building faculty capability to emerge as better teachers, researchers, and consultants through continuous professional development</w:t>
      </w:r>
    </w:p>
    <w:p w:rsidR="00DF63CD" w:rsidRDefault="00234491" w:rsidP="00234491">
      <w:pPr>
        <w:pStyle w:val="ListParagraph"/>
        <w:numPr>
          <w:ilvl w:val="0"/>
          <w:numId w:val="2"/>
        </w:numPr>
        <w:jc w:val="both"/>
      </w:pPr>
      <w:r>
        <w:t>Encouraging wide dissemination of research outcomes through publications in reputed journals, b</w:t>
      </w:r>
      <w:r>
        <w:t>ook chapters, and presentations at prestigious platforms</w:t>
      </w:r>
    </w:p>
    <w:p w:rsidR="00DF63CD" w:rsidRDefault="00234491" w:rsidP="00234491">
      <w:pPr>
        <w:pStyle w:val="ListParagraph"/>
        <w:numPr>
          <w:ilvl w:val="0"/>
          <w:numId w:val="2"/>
        </w:numPr>
        <w:jc w:val="both"/>
      </w:pPr>
      <w:r>
        <w:lastRenderedPageBreak/>
        <w:t xml:space="preserve">Supporting participation in conferences organized by institutions of repute (NITs, IITs, IIMs, </w:t>
      </w:r>
      <w:proofErr w:type="spellStart"/>
      <w:r>
        <w:t>IISc</w:t>
      </w:r>
      <w:proofErr w:type="spellEnd"/>
      <w:r>
        <w:t>, etc.), ensuring high-quality academic engagement</w:t>
      </w:r>
    </w:p>
    <w:p w:rsidR="00DF63CD" w:rsidRDefault="00234491" w:rsidP="00234491">
      <w:pPr>
        <w:pStyle w:val="ListParagraph"/>
        <w:numPr>
          <w:ilvl w:val="0"/>
          <w:numId w:val="2"/>
        </w:numPr>
        <w:spacing w:after="200"/>
        <w:jc w:val="both"/>
      </w:pPr>
      <w:r>
        <w:t>Facilitating access to relevant training programs</w:t>
      </w:r>
      <w:r>
        <w:t xml:space="preserve"> and visiting scholar opportunities that enhance teaching-research synergy</w:t>
      </w:r>
    </w:p>
    <w:p w:rsidR="00DF63CD" w:rsidRDefault="00234491">
      <w:pPr>
        <w:pStyle w:val="Heading2"/>
      </w:pPr>
      <w:r>
        <w:t>2.3 Transparent and Accountable Process</w:t>
      </w:r>
    </w:p>
    <w:p w:rsidR="00DF63CD" w:rsidRDefault="00234491" w:rsidP="00234491">
      <w:pPr>
        <w:spacing w:after="200"/>
        <w:jc w:val="both"/>
      </w:pPr>
      <w:r>
        <w:t xml:space="preserve">The policy establishes a rigorous yet supportive approval framework that ensures responsible use of institutional resources. The multi-stage </w:t>
      </w:r>
      <w:r>
        <w:t>review process involves scrutiny by HR for employment eligibility, Accounts for financial compliance, and ultimately the Director and Management for final approval. This transparent mechanism includes clear documentation requirements such as conference acc</w:t>
      </w:r>
      <w:r>
        <w:t>eptance letters, detailed travel itineraries, and paper titles, ensuring that support is directed toward genuine academic activities.</w:t>
      </w:r>
    </w:p>
    <w:p w:rsidR="00DF63CD" w:rsidRDefault="00234491">
      <w:pPr>
        <w:pStyle w:val="Heading1"/>
      </w:pPr>
      <w:r>
        <w:t>3. Impact and Institutional Uniqueness</w:t>
      </w:r>
    </w:p>
    <w:p w:rsidR="00DF63CD" w:rsidRDefault="00234491">
      <w:pPr>
        <w:pStyle w:val="Heading2"/>
      </w:pPr>
      <w:r>
        <w:t>3.1 Fostering a Research Culture</w:t>
      </w:r>
    </w:p>
    <w:p w:rsidR="00DF63CD" w:rsidRDefault="00234491" w:rsidP="00234491">
      <w:pPr>
        <w:spacing w:after="200"/>
        <w:jc w:val="both"/>
      </w:pPr>
      <w:r>
        <w:t xml:space="preserve">Unlike conventional faculty support programs that </w:t>
      </w:r>
      <w:r>
        <w:t xml:space="preserve">focus solely on financial reimbursement, RVIM's CDA policy creates a comprehensive ecosystem for research excellence. By providing structured support for both domestic and international participation, the policy enables faculty to engage with cutting-edge </w:t>
      </w:r>
      <w:r>
        <w:t>research, build collaborative networks, and bring global perspectives back to the classroom. This distinctive approach transforms professional development from an individual benefit to a strategic institutional asset.</w:t>
      </w:r>
    </w:p>
    <w:p w:rsidR="00DF63CD" w:rsidRDefault="00234491">
      <w:pPr>
        <w:pStyle w:val="Heading2"/>
      </w:pPr>
      <w:r>
        <w:t>3.2 Inclusive and Equitable Framework</w:t>
      </w:r>
    </w:p>
    <w:p w:rsidR="00DF63CD" w:rsidRDefault="00234491" w:rsidP="00234491">
      <w:pPr>
        <w:spacing w:after="200"/>
        <w:jc w:val="both"/>
      </w:pPr>
      <w:r>
        <w:t xml:space="preserve">The policy's distinctive feature lies in its inclusive design that extends benefits across all faculty categories while maintaining proportional support levels. By offering 75% support to probationary faculty and 50% to contract faculty, RVIM demonstrates </w:t>
      </w:r>
      <w:r>
        <w:t>its commitment to nurturing talent at all career stages. The six-month eligibility threshold, coupled with management discretion for exceptional cases, balances stability with flexibility.</w:t>
      </w:r>
    </w:p>
    <w:p w:rsidR="00DF63CD" w:rsidRDefault="00234491">
      <w:pPr>
        <w:pStyle w:val="Heading2"/>
      </w:pPr>
      <w:r>
        <w:t>3.3 Accountability and Responsible Stewardship</w:t>
      </w:r>
    </w:p>
    <w:p w:rsidR="00DF63CD" w:rsidRDefault="00234491" w:rsidP="00234491">
      <w:pPr>
        <w:spacing w:after="200"/>
        <w:jc w:val="both"/>
      </w:pPr>
      <w:r>
        <w:t>The policy includes robust accountability mechanisms, requiring faculty to refund disbursed amounts in cases of non-attendance or conference cancellation, accompanied by written explanations. This provision ensures that institutional resources are utilized</w:t>
      </w:r>
      <w:r>
        <w:t xml:space="preserve"> responsibly while maintaining trust between the administration and faculty. The comprehensive record-keeping by department heads and account sections further strengthens financial oversight and policy compliance.</w:t>
      </w:r>
    </w:p>
    <w:p w:rsidR="00DF63CD" w:rsidRDefault="00234491">
      <w:pPr>
        <w:pStyle w:val="Heading1"/>
      </w:pPr>
      <w:r>
        <w:t>4. Conclusion: A Model for Academic Excell</w:t>
      </w:r>
      <w:r>
        <w:t>ence</w:t>
      </w:r>
    </w:p>
    <w:p w:rsidR="00DF63CD" w:rsidRDefault="00234491" w:rsidP="00234491">
      <w:pPr>
        <w:spacing w:after="200"/>
        <w:jc w:val="both"/>
      </w:pPr>
      <w:r>
        <w:t xml:space="preserve">The Career Development Allowance Policy at RV Institute of Management represents more than a financial support mechanism—it embodies the institution's philosophy that </w:t>
      </w:r>
      <w:r>
        <w:lastRenderedPageBreak/>
        <w:t>faculty development is central to educational excellence. By systematically investin</w:t>
      </w:r>
      <w:r>
        <w:t>g in faculty participation at national and international academic forums, RVIM creates a virtuous cycle where research informs teaching, teaching inspires research, and both contribute to institutional reputation and student learning outcomes.</w:t>
      </w:r>
    </w:p>
    <w:p w:rsidR="00DF63CD" w:rsidRDefault="00234491" w:rsidP="00234491">
      <w:pPr>
        <w:spacing w:after="200"/>
        <w:jc w:val="both"/>
      </w:pPr>
      <w:r>
        <w:t>This distinc</w:t>
      </w:r>
      <w:r>
        <w:t>tive practice positions RVIM as an institution that walks its talk on research-driven education, setting a</w:t>
      </w:r>
      <w:bookmarkStart w:id="0" w:name="_GoBack"/>
      <w:bookmarkEnd w:id="0"/>
      <w:r>
        <w:t xml:space="preserve"> benchmark for how management institutes can strategically support faculty growth while maintaining fiscal responsibility and transparency. The policy</w:t>
      </w:r>
      <w:r>
        <w:t>'s success will ultimately be measured not just in conferences attended or papers presented, but in the enriched classroom experiences, enhanced research output, and strengthened institutional reputation that follow from sustained faculty engagement with t</w:t>
      </w:r>
      <w:r>
        <w:t>he global academic community.</w:t>
      </w:r>
    </w:p>
    <w:p w:rsidR="00DF63CD" w:rsidRDefault="00234491">
      <w:pPr>
        <w:spacing w:before="400"/>
        <w:jc w:val="center"/>
      </w:pPr>
      <w:r>
        <w:rPr>
          <w:b/>
          <w:bCs/>
        </w:rPr>
        <w:t>***</w:t>
      </w:r>
    </w:p>
    <w:sectPr w:rsidR="00DF63C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77E6"/>
    <w:multiLevelType w:val="hybridMultilevel"/>
    <w:tmpl w:val="FACAACE0"/>
    <w:lvl w:ilvl="0" w:tplc="8B40A068">
      <w:start w:val="1"/>
      <w:numFmt w:val="bullet"/>
      <w:lvlText w:val="●"/>
      <w:lvlJc w:val="left"/>
      <w:pPr>
        <w:ind w:left="720" w:hanging="360"/>
      </w:pPr>
    </w:lvl>
    <w:lvl w:ilvl="1" w:tplc="38D47B42">
      <w:start w:val="1"/>
      <w:numFmt w:val="bullet"/>
      <w:lvlText w:val="○"/>
      <w:lvlJc w:val="left"/>
      <w:pPr>
        <w:ind w:left="1440" w:hanging="360"/>
      </w:pPr>
    </w:lvl>
    <w:lvl w:ilvl="2" w:tplc="1FEACCE2">
      <w:start w:val="1"/>
      <w:numFmt w:val="bullet"/>
      <w:lvlText w:val="■"/>
      <w:lvlJc w:val="left"/>
      <w:pPr>
        <w:ind w:left="2160" w:hanging="360"/>
      </w:pPr>
    </w:lvl>
    <w:lvl w:ilvl="3" w:tplc="8A2C2092">
      <w:start w:val="1"/>
      <w:numFmt w:val="bullet"/>
      <w:lvlText w:val="●"/>
      <w:lvlJc w:val="left"/>
      <w:pPr>
        <w:ind w:left="2880" w:hanging="360"/>
      </w:pPr>
    </w:lvl>
    <w:lvl w:ilvl="4" w:tplc="C74092FA">
      <w:start w:val="1"/>
      <w:numFmt w:val="bullet"/>
      <w:lvlText w:val="○"/>
      <w:lvlJc w:val="left"/>
      <w:pPr>
        <w:ind w:left="3600" w:hanging="360"/>
      </w:pPr>
    </w:lvl>
    <w:lvl w:ilvl="5" w:tplc="F8464212">
      <w:start w:val="1"/>
      <w:numFmt w:val="bullet"/>
      <w:lvlText w:val="■"/>
      <w:lvlJc w:val="left"/>
      <w:pPr>
        <w:ind w:left="4320" w:hanging="360"/>
      </w:pPr>
    </w:lvl>
    <w:lvl w:ilvl="6" w:tplc="1BD4D77E">
      <w:start w:val="1"/>
      <w:numFmt w:val="bullet"/>
      <w:lvlText w:val="●"/>
      <w:lvlJc w:val="left"/>
      <w:pPr>
        <w:ind w:left="5040" w:hanging="360"/>
      </w:pPr>
    </w:lvl>
    <w:lvl w:ilvl="7" w:tplc="A7F4CDCE">
      <w:start w:val="1"/>
      <w:numFmt w:val="bullet"/>
      <w:lvlText w:val="●"/>
      <w:lvlJc w:val="left"/>
      <w:pPr>
        <w:ind w:left="5760" w:hanging="360"/>
      </w:pPr>
    </w:lvl>
    <w:lvl w:ilvl="8" w:tplc="DCAA0C18">
      <w:start w:val="1"/>
      <w:numFmt w:val="bullet"/>
      <w:lvlText w:val="●"/>
      <w:lvlJc w:val="left"/>
      <w:pPr>
        <w:ind w:left="6480" w:hanging="360"/>
      </w:pPr>
    </w:lvl>
  </w:abstractNum>
  <w:abstractNum w:abstractNumId="1" w15:restartNumberingAfterBreak="0">
    <w:nsid w:val="2CBE1FFB"/>
    <w:multiLevelType w:val="hybridMultilevel"/>
    <w:tmpl w:val="1EE832DE"/>
    <w:lvl w:ilvl="0" w:tplc="DEB45232">
      <w:start w:val="1"/>
      <w:numFmt w:val="bullet"/>
      <w:lvlText w:val="•"/>
      <w:lvlJc w:val="left"/>
      <w:pPr>
        <w:ind w:left="720" w:hanging="360"/>
      </w:pPr>
    </w:lvl>
    <w:lvl w:ilvl="1" w:tplc="C1567ACC">
      <w:numFmt w:val="decimal"/>
      <w:lvlText w:val=""/>
      <w:lvlJc w:val="left"/>
    </w:lvl>
    <w:lvl w:ilvl="2" w:tplc="85DA63D0">
      <w:numFmt w:val="decimal"/>
      <w:lvlText w:val=""/>
      <w:lvlJc w:val="left"/>
    </w:lvl>
    <w:lvl w:ilvl="3" w:tplc="7DE8A01E">
      <w:numFmt w:val="decimal"/>
      <w:lvlText w:val=""/>
      <w:lvlJc w:val="left"/>
    </w:lvl>
    <w:lvl w:ilvl="4" w:tplc="1C1CA77E">
      <w:numFmt w:val="decimal"/>
      <w:lvlText w:val=""/>
      <w:lvlJc w:val="left"/>
    </w:lvl>
    <w:lvl w:ilvl="5" w:tplc="2FE4C750">
      <w:numFmt w:val="decimal"/>
      <w:lvlText w:val=""/>
      <w:lvlJc w:val="left"/>
    </w:lvl>
    <w:lvl w:ilvl="6" w:tplc="DA187D3C">
      <w:numFmt w:val="decimal"/>
      <w:lvlText w:val=""/>
      <w:lvlJc w:val="left"/>
    </w:lvl>
    <w:lvl w:ilvl="7" w:tplc="D884CFE8">
      <w:numFmt w:val="decimal"/>
      <w:lvlText w:val=""/>
      <w:lvlJc w:val="left"/>
    </w:lvl>
    <w:lvl w:ilvl="8" w:tplc="7BBA28B2">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3CD"/>
    <w:rsid w:val="00234491"/>
    <w:rsid w:val="00DF6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03F8E4-FE27-45F7-9805-99A2A6E0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spacing w:before="240" w:after="240"/>
      <w:outlineLvl w:val="0"/>
    </w:pPr>
    <w:rPr>
      <w:b/>
      <w:bCs/>
      <w:color w:val="1F4788"/>
      <w:sz w:val="32"/>
      <w:szCs w:val="32"/>
    </w:rPr>
  </w:style>
  <w:style w:type="paragraph" w:styleId="Heading2">
    <w:name w:val="heading 2"/>
    <w:qFormat/>
    <w:pPr>
      <w:spacing w:before="200" w:after="160"/>
      <w:outlineLvl w:val="1"/>
    </w:pPr>
    <w:rPr>
      <w:b/>
      <w:bCs/>
      <w:color w:val="2E5C9A"/>
      <w:sz w:val="28"/>
      <w:szCs w:val="28"/>
    </w:rPr>
  </w:style>
  <w:style w:type="paragraph" w:styleId="Heading3">
    <w:name w:val="heading 3"/>
    <w:qFormat/>
    <w:pPr>
      <w:spacing w:before="160" w:after="120"/>
      <w:outlineLvl w:val="2"/>
    </w:pPr>
    <w:rPr>
      <w:b/>
      <w:bCs/>
      <w:color w:val="2E5C9A"/>
      <w:sz w:val="26"/>
      <w:szCs w:val="26"/>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2</cp:revision>
  <dcterms:created xsi:type="dcterms:W3CDTF">2026-02-03T07:52:00Z</dcterms:created>
  <dcterms:modified xsi:type="dcterms:W3CDTF">2026-02-03T07:55:00Z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4c3be6b6-3762-454d-ad21-3334ce6f4891</vt:lpwstr>
  </property>
</Properties>
</file>