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200"/>
        <w:jc w:val="center"/>
      </w:pPr>
      <w:r>
        <w:rPr>
          <w:rFonts w:ascii="Arial" w:cs="Arial" w:eastAsia="Arial" w:hAnsi="Arial"/>
          <w:b/>
          <w:bCs/>
          <w:color w:val="1F4788"/>
          <w:sz w:val="38"/>
          <w:szCs w:val="38"/>
        </w:rPr>
        <w:t xml:space="preserve">STRATEGIC ACTION PLAN</w:t>
      </w:r>
    </w:p>
    <w:p>
      <w:pPr>
        <w:spacing w:after="100"/>
        <w:jc w:val="center"/>
      </w:pPr>
      <w:r>
        <w:rPr>
          <w:rFonts w:ascii="Arial" w:cs="Arial" w:eastAsia="Arial" w:hAnsi="Arial"/>
          <w:b/>
          <w:bCs/>
          <w:color w:val="2E5C9A"/>
          <w:sz w:val="28"/>
          <w:szCs w:val="28"/>
        </w:rPr>
        <w:t xml:space="preserve">Academic Year 2024-25</w:t>
      </w:r>
    </w:p>
    <w:p>
      <w:pPr>
        <w:spacing w:after="400"/>
        <w:jc w:val="center"/>
      </w:pPr>
      <w:r>
        <w:rPr>
          <w:rFonts w:ascii="Arial" w:cs="Arial" w:eastAsia="Arial" w:hAnsi="Arial"/>
          <w:i/>
          <w:iCs/>
          <w:sz w:val="24"/>
          <w:szCs w:val="24"/>
        </w:rPr>
        <w:t xml:space="preserve">RV Institute of Management</w:t>
      </w:r>
    </w:p>
    <w:p>
      <w:pPr>
        <w:pStyle w:val="Heading1"/>
      </w:pPr>
      <w:r>
        <w:t xml:space="preserve">Executive Summary</w:t>
      </w:r>
    </w:p>
    <w:p>
      <w:pPr>
        <w:spacing w:after="200"/>
      </w:pPr>
      <w:r>
        <w:t xml:space="preserve">The Strategic Action Plan for 2024-25 outlines critical initiatives aligned with RVIM's vision to establish itself as a premier management institution. This year marks a pivotal phase in our journey toward academic excellence, focusing on quality enhancement through accreditation, program diversification, infrastructure development, and research strengthening. The plan encompasses six strategic priorities with clearly defined objectives, timelines, responsibilities, and success metrics.</w:t>
      </w:r>
    </w:p>
    <w:p>
      <w:pPr>
        <w:pStyle w:val="Heading1"/>
      </w:pPr>
      <w:r>
        <w:t xml:space="preserve">Strategic Priority 1: Quality Assurance and Accreditation</w:t>
      </w:r>
    </w:p>
    <w:p>
      <w:pPr>
        <w:pStyle w:val="Heading2"/>
      </w:pPr>
      <w:r>
        <w:t xml:space="preserve">1.1 NBA Preparations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Objective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Initiate comprehensive preparations for NBA accreditation to ensure quality benchmarks are met</w:t>
            </w:r>
          </w:p>
        </w:tc>
      </w:tr>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Key Actions</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 Form NBA Steering Committee by May 2024</w:t>
            </w:r>
          </w:p>
          <w:p>
            <w:r>
              <w:t xml:space="preserve">• Conduct gap analysis against NBA criteria by July 2024</w:t>
            </w:r>
          </w:p>
          <w:p>
            <w:r>
              <w:t xml:space="preserve">• Develop documentation framework and evidence repository</w:t>
            </w:r>
          </w:p>
          <w:p>
            <w:r>
              <w:t xml:space="preserve">• Organize faculty development programs on NBA requirements</w:t>
            </w:r>
          </w:p>
          <w:p>
            <w:r>
              <w:t xml:space="preserve">• Implement Continuous Quality Improvement (CQI) mechanisms</w:t>
            </w:r>
          </w:p>
        </w:tc>
      </w:tr>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Timeline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April 2024 - March 2025 (Application in 2025-26)</w:t>
            </w:r>
          </w:p>
        </w:tc>
      </w:tr>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Responsibility</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Director, IQAC Coordinator, NBA Committee</w:t>
            </w:r>
          </w:p>
        </w:tc>
      </w:tr>
    </w:tbl>
    <w:p>
      <w:pPr>
        <w:spacing w:before="200" w:after="0"/>
      </w:pPr>
      <w:r>
        <w:t xml:space="preserve"/>
      </w:r>
    </w:p>
    <w:p>
      <w:pPr>
        <w:pStyle w:val="Heading2"/>
      </w:pPr>
      <w:r>
        <w:t xml:space="preserve">1.2 International Accreditation Preparation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Objective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Commence preparations for international accreditation (AMBA/AACSB)</w:t>
            </w:r>
          </w:p>
        </w:tc>
      </w:tr>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Key Actions</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 Identify suitable accreditation body (AMBA/AACSB) by June 2024</w:t>
            </w:r>
          </w:p>
          <w:p>
            <w:r>
              <w:t xml:space="preserve">• Conduct institutional readiness assessment</w:t>
            </w:r>
          </w:p>
          <w:p>
            <w:r>
              <w:t xml:space="preserve">• Establish international accreditation task force</w:t>
            </w:r>
          </w:p>
          <w:p>
            <w:r>
              <w:t xml:space="preserve">• Align curriculum and pedagogy with international standards</w:t>
            </w:r>
          </w:p>
          <w:p>
            <w:r>
              <w:t xml:space="preserve">• Strengthen industry connections and global partnerships</w:t>
            </w:r>
          </w:p>
        </w:tc>
      </w:tr>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Timeline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June 2024 - March 2025 (Application in 2025-26)</w:t>
            </w:r>
          </w:p>
        </w:tc>
      </w:tr>
      <w:tr>
        <w:tc>
          <w:tcPr>
            <w:tcW w:type="dxa" w:w="2800"/>
            <w:tcBorders>
              <w:top w:val="single" w:color="CCCCCC" w:sz="1"/>
              <w:left w:val="single" w:color="CCCCCC" w:sz="1"/>
              <w:bottom w:val="single" w:color="CCCCCC" w:sz="1"/>
              <w:right w:val="single" w:color="CCCCCC" w:sz="1"/>
            </w:tcBorders>
            <w:shd w:fill="E8F1F8" w:val="clear"/>
            <w:tcMar>
              <w:top w:type="dxa" w:w="80"/>
              <w:left w:type="dxa" w:w="100"/>
              <w:bottom w:type="dxa" w:w="80"/>
              <w:right w:type="dxa" w:w="100"/>
            </w:tcMar>
          </w:tcPr>
          <w:p>
            <w:r>
              <w:rPr>
                <w:b/>
                <w:bCs/>
              </w:rPr>
              <w:t xml:space="preserve">Responsibility</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Director, International Accreditation Committee</w:t>
            </w:r>
          </w:p>
        </w:tc>
      </w:tr>
    </w:tbl>
    <w:p>
      <w:pPr>
        <w:spacing w:before="200" w:after="0"/>
      </w:pPr>
      <w:r>
        <w:t xml:space="preserve"/>
      </w:r>
    </w:p>
    <w:p>
      <w:pPr>
        <w:pStyle w:val="Heading1"/>
      </w:pPr>
      <w:r>
        <w:t xml:space="preserve">Strategic Priority 2: Infrastructure Development</w:t>
      </w:r>
    </w:p>
    <w:p>
      <w:pPr>
        <w:pStyle w:val="Heading2"/>
      </w:pPr>
      <w:r>
        <w:t xml:space="preserve">2.1 Capacity Enhancement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FFF4E6" w:val="clear"/>
            <w:tcMar>
              <w:top w:type="dxa" w:w="80"/>
              <w:left w:type="dxa" w:w="100"/>
              <w:bottom w:type="dxa" w:w="80"/>
              <w:right w:type="dxa" w:w="100"/>
            </w:tcMar>
          </w:tcPr>
          <w:p>
            <w:r>
              <w:rPr>
                <w:b/>
                <w:bCs/>
              </w:rPr>
              <w:t xml:space="preserve">Objective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Make necessary infrastructure improvements to accommodate increased student intake</w:t>
            </w:r>
          </w:p>
        </w:tc>
      </w:tr>
      <w:tr>
        <w:tc>
          <w:tcPr>
            <w:tcW w:type="dxa" w:w="2800"/>
            <w:tcBorders>
              <w:top w:val="single" w:color="CCCCCC" w:sz="1"/>
              <w:left w:val="single" w:color="CCCCCC" w:sz="1"/>
              <w:bottom w:val="single" w:color="CCCCCC" w:sz="1"/>
              <w:right w:val="single" w:color="CCCCCC" w:sz="1"/>
            </w:tcBorders>
            <w:shd w:fill="FFF4E6" w:val="clear"/>
            <w:tcMar>
              <w:top w:type="dxa" w:w="80"/>
              <w:left w:type="dxa" w:w="100"/>
              <w:bottom w:type="dxa" w:w="80"/>
              <w:right w:type="dxa" w:w="100"/>
            </w:tcMar>
          </w:tcPr>
          <w:p>
            <w:r>
              <w:rPr>
                <w:b/>
                <w:bCs/>
              </w:rPr>
              <w:t xml:space="preserve">Key Actions</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 Conduct infrastructure audit and capacity analysis by May 2024</w:t>
            </w:r>
          </w:p>
          <w:p>
            <w:r>
              <w:t xml:space="preserve">• Develop detailed project plan for additional classrooms and facilities</w:t>
            </w:r>
          </w:p>
          <w:p>
            <w:r>
              <w:t xml:space="preserve">• Enhance library resources and digital infrastructure</w:t>
            </w:r>
          </w:p>
          <w:p>
            <w:r>
              <w:t xml:space="preserve">• Upgrade hostel and cafeteria facilities</w:t>
            </w:r>
          </w:p>
          <w:p>
            <w:r>
              <w:t xml:space="preserve">• Strengthen IT infrastructure and Wi-Fi coverage</w:t>
            </w:r>
          </w:p>
        </w:tc>
      </w:tr>
      <w:tr>
        <w:tc>
          <w:tcPr>
            <w:tcW w:type="dxa" w:w="2800"/>
            <w:tcBorders>
              <w:top w:val="single" w:color="CCCCCC" w:sz="1"/>
              <w:left w:val="single" w:color="CCCCCC" w:sz="1"/>
              <w:bottom w:val="single" w:color="CCCCCC" w:sz="1"/>
              <w:right w:val="single" w:color="CCCCCC" w:sz="1"/>
            </w:tcBorders>
            <w:shd w:fill="FFF4E6" w:val="clear"/>
            <w:tcMar>
              <w:top w:type="dxa" w:w="80"/>
              <w:left w:type="dxa" w:w="100"/>
              <w:bottom w:type="dxa" w:w="80"/>
              <w:right w:type="dxa" w:w="100"/>
            </w:tcMar>
          </w:tcPr>
          <w:p>
            <w:r>
              <w:rPr>
                <w:b/>
                <w:bCs/>
              </w:rPr>
              <w:t xml:space="preserve">Timeline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May 2024 - March 2025</w:t>
            </w:r>
          </w:p>
        </w:tc>
      </w:tr>
      <w:tr>
        <w:tc>
          <w:tcPr>
            <w:tcW w:type="dxa" w:w="2800"/>
            <w:tcBorders>
              <w:top w:val="single" w:color="CCCCCC" w:sz="1"/>
              <w:left w:val="single" w:color="CCCCCC" w:sz="1"/>
              <w:bottom w:val="single" w:color="CCCCCC" w:sz="1"/>
              <w:right w:val="single" w:color="CCCCCC" w:sz="1"/>
            </w:tcBorders>
            <w:shd w:fill="FFF4E6" w:val="clear"/>
            <w:tcMar>
              <w:top w:type="dxa" w:w="80"/>
              <w:left w:type="dxa" w:w="100"/>
              <w:bottom w:type="dxa" w:w="80"/>
              <w:right w:type="dxa" w:w="100"/>
            </w:tcMar>
          </w:tcPr>
          <w:p>
            <w:r>
              <w:rPr>
                <w:b/>
                <w:bCs/>
              </w:rPr>
              <w:t xml:space="preserve">Responsibility</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Director, Administration Head, Infrastructure Committee</w:t>
            </w:r>
          </w:p>
        </w:tc>
      </w:tr>
    </w:tbl>
    <w:p>
      <w:pPr>
        <w:spacing w:before="200" w:after="0"/>
      </w:pPr>
      <w:r>
        <w:t xml:space="preserve"/>
      </w:r>
    </w:p>
    <w:p>
      <w:pPr>
        <w:pStyle w:val="Heading1"/>
      </w:pPr>
      <w:r>
        <w:t xml:space="preserve">Strategic Priority 3: Program Development and Innovation</w:t>
      </w:r>
    </w:p>
    <w:p>
      <w:pPr>
        <w:pStyle w:val="Heading2"/>
      </w:pPr>
      <w:r>
        <w:t xml:space="preserve">3.1 Evening Executive MBA Program Development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Objective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Design comprehensive curriculum for Evening Executive MBA Program</w:t>
            </w:r>
          </w:p>
        </w:tc>
      </w:tr>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Key Actions</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 Conduct market research and industry needs assessment</w:t>
            </w:r>
          </w:p>
          <w:p>
            <w:r>
              <w:t xml:space="preserve">• Form Curriculum Development Committee by April 2024</w:t>
            </w:r>
          </w:p>
          <w:p>
            <w:r>
              <w:t xml:space="preserve">• Design flexible, industry-relevant curriculum structure</w:t>
            </w:r>
          </w:p>
          <w:p>
            <w:r>
              <w:t xml:space="preserve">• Develop course syllabi, teaching materials, and assessment frameworks</w:t>
            </w:r>
          </w:p>
          <w:p>
            <w:r>
              <w:t xml:space="preserve">• Engage industry experts for curriculum validation</w:t>
            </w:r>
          </w:p>
          <w:p>
            <w:r>
              <w:t xml:space="preserve">• Prepare approval documentation for regulatory bodies</w:t>
            </w:r>
          </w:p>
        </w:tc>
      </w:tr>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Timeline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April 2024 - February 2025</w:t>
            </w:r>
          </w:p>
        </w:tc>
      </w:tr>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Responsibility</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Dean (Academics), Curriculum Committee, Industry Advisory Board</w:t>
            </w:r>
          </w:p>
        </w:tc>
      </w:tr>
    </w:tbl>
    <w:p>
      <w:pPr>
        <w:spacing w:before="200" w:after="0"/>
      </w:pPr>
      <w:r>
        <w:t xml:space="preserve"/>
      </w:r>
    </w:p>
    <w:p>
      <w:pPr>
        <w:pStyle w:val="Heading2"/>
      </w:pPr>
      <w:r>
        <w:t xml:space="preserve">3.2 Short-term Certification Programs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Objective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Launch certification programs in Healthcare Management and other emerging domains</w:t>
            </w:r>
          </w:p>
        </w:tc>
      </w:tr>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Key Actions</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 Identify high-demand certification areas (Healthcare Management, Digital Marketing, Data Analytics, Sustainability Management)</w:t>
            </w:r>
          </w:p>
          <w:p>
            <w:r>
              <w:t xml:space="preserve">• Design modular, industry-aligned certification curricula</w:t>
            </w:r>
          </w:p>
          <w:p>
            <w:r>
              <w:t xml:space="preserve">• Establish partnerships with industry bodies and healthcare institutions</w:t>
            </w:r>
          </w:p>
          <w:p>
            <w:r>
              <w:t xml:space="preserve">• Develop marketing and outreach strategy</w:t>
            </w:r>
          </w:p>
          <w:p>
            <w:r>
              <w:t xml:space="preserve">• Launch pilot programs by October 2024</w:t>
            </w:r>
          </w:p>
        </w:tc>
      </w:tr>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Timeline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June 2024 - March 2025</w:t>
            </w:r>
          </w:p>
        </w:tc>
      </w:tr>
      <w:tr>
        <w:tc>
          <w:tcPr>
            <w:tcW w:type="dxa" w:w="2800"/>
            <w:tcBorders>
              <w:top w:val="single" w:color="CCCCCC" w:sz="1"/>
              <w:left w:val="single" w:color="CCCCCC" w:sz="1"/>
              <w:bottom w:val="single" w:color="CCCCCC" w:sz="1"/>
              <w:right w:val="single" w:color="CCCCCC" w:sz="1"/>
            </w:tcBorders>
            <w:shd w:fill="E8F5E9" w:val="clear"/>
            <w:tcMar>
              <w:top w:type="dxa" w:w="80"/>
              <w:left w:type="dxa" w:w="100"/>
              <w:bottom w:type="dxa" w:w="80"/>
              <w:right w:type="dxa" w:w="100"/>
            </w:tcMar>
          </w:tcPr>
          <w:p>
            <w:r>
              <w:rPr>
                <w:b/>
                <w:bCs/>
              </w:rPr>
              <w:t xml:space="preserve">Responsibility</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Director, Dean (Academics), Centre Heads, Program Coordinators</w:t>
            </w:r>
          </w:p>
        </w:tc>
      </w:tr>
    </w:tbl>
    <w:p>
      <w:pPr>
        <w:spacing w:before="300" w:after="0"/>
      </w:pPr>
      <w:r>
        <w:t xml:space="preserve"/>
      </w:r>
    </w:p>
    <w:p>
      <w:pPr>
        <w:pStyle w:val="Heading1"/>
      </w:pPr>
      <w:r>
        <w:t xml:space="preserve">Strategic Priority 4: Research and Doctoral Education</w:t>
      </w:r>
    </w:p>
    <w:p>
      <w:pPr>
        <w:pStyle w:val="Heading2"/>
      </w:pPr>
      <w:r>
        <w:t xml:space="preserve">4.1 Autonomous PhD Program Commencement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F3E5F5" w:val="clear"/>
            <w:tcMar>
              <w:top w:type="dxa" w:w="80"/>
              <w:left w:type="dxa" w:w="100"/>
              <w:bottom w:type="dxa" w:w="80"/>
              <w:right w:type="dxa" w:w="100"/>
            </w:tcMar>
          </w:tcPr>
          <w:p>
            <w:r>
              <w:rPr>
                <w:b/>
                <w:bCs/>
              </w:rPr>
              <w:t xml:space="preserve">Objective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Launch and operationalize the Autonomous PhD Program</w:t>
            </w:r>
          </w:p>
        </w:tc>
      </w:tr>
      <w:tr>
        <w:tc>
          <w:tcPr>
            <w:tcW w:type="dxa" w:w="2800"/>
            <w:tcBorders>
              <w:top w:val="single" w:color="CCCCCC" w:sz="1"/>
              <w:left w:val="single" w:color="CCCCCC" w:sz="1"/>
              <w:bottom w:val="single" w:color="CCCCCC" w:sz="1"/>
              <w:right w:val="single" w:color="CCCCCC" w:sz="1"/>
            </w:tcBorders>
            <w:shd w:fill="F3E5F5" w:val="clear"/>
            <w:tcMar>
              <w:top w:type="dxa" w:w="80"/>
              <w:left w:type="dxa" w:w="100"/>
              <w:bottom w:type="dxa" w:w="80"/>
              <w:right w:type="dxa" w:w="100"/>
            </w:tcMar>
          </w:tcPr>
          <w:p>
            <w:r>
              <w:rPr>
                <w:b/>
                <w:bCs/>
              </w:rPr>
              <w:t xml:space="preserve">Key Actions</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 Finalize PhD program regulations and admission criteria</w:t>
            </w:r>
          </w:p>
          <w:p>
            <w:r>
              <w:t xml:space="preserve">• Establish Research Advisory Committee and Doctoral Committee</w:t>
            </w:r>
          </w:p>
          <w:p>
            <w:r>
              <w:t xml:space="preserve">• Develop PhD coursework curriculum and research methodology framework</w:t>
            </w:r>
          </w:p>
          <w:p>
            <w:r>
              <w:t xml:space="preserve">• Create research infrastructure and scholar support systems</w:t>
            </w:r>
          </w:p>
          <w:p>
            <w:r>
              <w:t xml:space="preserve">• Launch PhD admission process with first cohort intake by July 2024</w:t>
            </w:r>
          </w:p>
          <w:p>
            <w:r>
              <w:t xml:space="preserve">• Organize research methodology workshops and seminars</w:t>
            </w:r>
          </w:p>
        </w:tc>
      </w:tr>
      <w:tr>
        <w:tc>
          <w:tcPr>
            <w:tcW w:type="dxa" w:w="2800"/>
            <w:tcBorders>
              <w:top w:val="single" w:color="CCCCCC" w:sz="1"/>
              <w:left w:val="single" w:color="CCCCCC" w:sz="1"/>
              <w:bottom w:val="single" w:color="CCCCCC" w:sz="1"/>
              <w:right w:val="single" w:color="CCCCCC" w:sz="1"/>
            </w:tcBorders>
            <w:shd w:fill="F3E5F5" w:val="clear"/>
            <w:tcMar>
              <w:top w:type="dxa" w:w="80"/>
              <w:left w:type="dxa" w:w="100"/>
              <w:bottom w:type="dxa" w:w="80"/>
              <w:right w:type="dxa" w:w="100"/>
            </w:tcMar>
          </w:tcPr>
          <w:p>
            <w:r>
              <w:rPr>
                <w:b/>
                <w:bCs/>
              </w:rPr>
              <w:t xml:space="preserve">Timeline</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April 2024 - March 2025</w:t>
            </w:r>
          </w:p>
        </w:tc>
      </w:tr>
      <w:tr>
        <w:tc>
          <w:tcPr>
            <w:tcW w:type="dxa" w:w="2800"/>
            <w:tcBorders>
              <w:top w:val="single" w:color="CCCCCC" w:sz="1"/>
              <w:left w:val="single" w:color="CCCCCC" w:sz="1"/>
              <w:bottom w:val="single" w:color="CCCCCC" w:sz="1"/>
              <w:right w:val="single" w:color="CCCCCC" w:sz="1"/>
            </w:tcBorders>
            <w:shd w:fill="F3E5F5" w:val="clear"/>
            <w:tcMar>
              <w:top w:type="dxa" w:w="80"/>
              <w:left w:type="dxa" w:w="100"/>
              <w:bottom w:type="dxa" w:w="80"/>
              <w:right w:type="dxa" w:w="100"/>
            </w:tcMar>
          </w:tcPr>
          <w:p>
            <w:r>
              <w:rPr>
                <w:b/>
                <w:bCs/>
              </w:rPr>
              <w:t xml:space="preserve">Responsibility</w:t>
            </w:r>
          </w:p>
        </w:tc>
        <w:tc>
          <w:tcPr>
            <w:tcW w:type="dxa" w:w="65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Director, Research Coordinator, Doctoral Committee</w:t>
            </w:r>
          </w:p>
        </w:tc>
      </w:tr>
    </w:tbl>
    <w:p>
      <w:pPr>
        <w:spacing w:before="300" w:after="0"/>
      </w:pPr>
      <w:r>
        <w:t xml:space="preserve"/>
      </w:r>
    </w:p>
    <w:p>
      <w:pPr>
        <w:pStyle w:val="Heading1"/>
      </w:pPr>
      <w:r>
        <w:t xml:space="preserve">Strategic Priority 5: Monitoring and Review Framework</w:t>
      </w:r>
    </w:p>
    <w:p>
      <w:pPr>
        <w:spacing w:after="140"/>
      </w:pPr>
      <w:r>
        <w:t xml:space="preserve">To ensure effective implementation of this strategic action plan, the following monitoring mechanisms will be instituted: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60"/>
      </w:tblGrid>
      <w:tr>
        <w:tc>
          <w:tcPr>
            <w:tcW w:type="dxa" w:w="3100"/>
            <w:tcBorders>
              <w:top w:val="single" w:color="CCCCCC" w:sz="1"/>
              <w:left w:val="single" w:color="CCCCCC" w:sz="1"/>
              <w:bottom w:val="single" w:color="CCCCCC" w:sz="1"/>
              <w:right w:val="single" w:color="CCCCCC" w:sz="1"/>
            </w:tcBorders>
            <w:shd w:fill="1F4788" w:val="clear"/>
            <w:tcMar>
              <w:top w:type="dxa" w:w="100"/>
              <w:left w:type="dxa" w:w="100"/>
              <w:bottom w:type="dxa" w:w="100"/>
              <w:right w:type="dxa" w:w="100"/>
            </w:tcMar>
          </w:tcPr>
          <w:p>
            <w:pPr>
              <w:jc w:val="center"/>
            </w:pPr>
            <w:r>
              <w:rPr>
                <w:b/>
                <w:bCs/>
                <w:color w:val="FFFFFF"/>
              </w:rPr>
              <w:t xml:space="preserve">Review Frequency</w:t>
            </w:r>
          </w:p>
        </w:tc>
        <w:tc>
          <w:tcPr>
            <w:tcW w:type="dxa" w:w="3100"/>
            <w:tcBorders>
              <w:top w:val="single" w:color="CCCCCC" w:sz="1"/>
              <w:left w:val="single" w:color="CCCCCC" w:sz="1"/>
              <w:bottom w:val="single" w:color="CCCCCC" w:sz="1"/>
              <w:right w:val="single" w:color="CCCCCC" w:sz="1"/>
            </w:tcBorders>
            <w:shd w:fill="1F4788" w:val="clear"/>
            <w:tcMar>
              <w:top w:type="dxa" w:w="100"/>
              <w:left w:type="dxa" w:w="100"/>
              <w:bottom w:type="dxa" w:w="100"/>
              <w:right w:type="dxa" w:w="100"/>
            </w:tcMar>
          </w:tcPr>
          <w:p>
            <w:pPr>
              <w:jc w:val="center"/>
            </w:pPr>
            <w:r>
              <w:rPr>
                <w:b/>
                <w:bCs/>
                <w:color w:val="FFFFFF"/>
              </w:rPr>
              <w:t xml:space="preserve">Review Body</w:t>
            </w:r>
          </w:p>
        </w:tc>
        <w:tc>
          <w:tcPr>
            <w:tcW w:type="dxa" w:w="3160"/>
            <w:tcBorders>
              <w:top w:val="single" w:color="CCCCCC" w:sz="1"/>
              <w:left w:val="single" w:color="CCCCCC" w:sz="1"/>
              <w:bottom w:val="single" w:color="CCCCCC" w:sz="1"/>
              <w:right w:val="single" w:color="CCCCCC" w:sz="1"/>
            </w:tcBorders>
            <w:shd w:fill="1F4788" w:val="clear"/>
            <w:tcMar>
              <w:top w:type="dxa" w:w="100"/>
              <w:left w:type="dxa" w:w="100"/>
              <w:bottom w:type="dxa" w:w="100"/>
              <w:right w:type="dxa" w:w="100"/>
            </w:tcMar>
          </w:tcPr>
          <w:p>
            <w:pPr>
              <w:jc w:val="center"/>
            </w:pPr>
            <w:r>
              <w:rPr>
                <w:b/>
                <w:bCs/>
                <w:color w:val="FFFFFF"/>
              </w:rPr>
              <w:t xml:space="preserve">Focus Areas</w:t>
            </w:r>
          </w:p>
        </w:tc>
      </w:tr>
      <w:tr>
        <w:tc>
          <w:tcPr>
            <w:tcW w:type="dxa" w:w="310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Monthly</w:t>
            </w:r>
          </w:p>
        </w:tc>
        <w:tc>
          <w:tcPr>
            <w:tcW w:type="dxa" w:w="310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Action Plan Committee</w:t>
            </w:r>
          </w:p>
        </w:tc>
        <w:tc>
          <w:tcPr>
            <w:tcW w:type="dxa" w:w="31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Progress tracking, immediate challenges</w:t>
            </w:r>
          </w:p>
        </w:tc>
      </w:tr>
      <w:tr>
        <w:tc>
          <w:tcPr>
            <w:tcW w:type="dxa" w:w="31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tcPr>
          <w:p>
            <w:r>
              <w:t xml:space="preserve">Quarterly</w:t>
            </w:r>
          </w:p>
        </w:tc>
        <w:tc>
          <w:tcPr>
            <w:tcW w:type="dxa" w:w="310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tcPr>
          <w:p>
            <w:r>
              <w:t xml:space="preserve">Management &amp; Director</w:t>
            </w:r>
          </w:p>
        </w:tc>
        <w:tc>
          <w:tcPr>
            <w:tcW w:type="dxa" w:w="3160"/>
            <w:tcBorders>
              <w:top w:val="single" w:color="CCCCCC" w:sz="1"/>
              <w:left w:val="single" w:color="CCCCCC" w:sz="1"/>
              <w:bottom w:val="single" w:color="CCCCCC" w:sz="1"/>
              <w:right w:val="single" w:color="CCCCCC" w:sz="1"/>
            </w:tcBorders>
            <w:shd w:fill="F5F5F5" w:val="clear"/>
            <w:tcMar>
              <w:top w:type="dxa" w:w="80"/>
              <w:left w:type="dxa" w:w="100"/>
              <w:bottom w:type="dxa" w:w="80"/>
              <w:right w:type="dxa" w:w="100"/>
            </w:tcMar>
          </w:tcPr>
          <w:p>
            <w:r>
              <w:t xml:space="preserve">Strategic milestones, resource allocation</w:t>
            </w:r>
          </w:p>
        </w:tc>
      </w:tr>
      <w:tr>
        <w:tc>
          <w:tcPr>
            <w:tcW w:type="dxa" w:w="310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Bi-annually</w:t>
            </w:r>
          </w:p>
        </w:tc>
        <w:tc>
          <w:tcPr>
            <w:tcW w:type="dxa" w:w="310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Governing Body</w:t>
            </w:r>
          </w:p>
        </w:tc>
        <w:tc>
          <w:tcPr>
            <w:tcW w:type="dxa" w:w="3160"/>
            <w:tcBorders>
              <w:top w:val="single" w:color="CCCCCC" w:sz="1"/>
              <w:left w:val="single" w:color="CCCCCC" w:sz="1"/>
              <w:bottom w:val="single" w:color="CCCCCC" w:sz="1"/>
              <w:right w:val="single" w:color="CCCCCC" w:sz="1"/>
            </w:tcBorders>
            <w:tcMar>
              <w:top w:type="dxa" w:w="80"/>
              <w:left w:type="dxa" w:w="100"/>
              <w:bottom w:type="dxa" w:w="80"/>
              <w:right w:type="dxa" w:w="100"/>
            </w:tcMar>
          </w:tcPr>
          <w:p>
            <w:r>
              <w:t xml:space="preserve">Overall progress, strategic adjustments</w:t>
            </w:r>
          </w:p>
        </w:tc>
      </w:tr>
    </w:tbl>
    <w:p>
      <w:pPr>
        <w:spacing w:before="300" w:after="200"/>
      </w:pPr>
      <w:r>
        <w:t xml:space="preserve"/>
      </w:r>
    </w:p>
    <w:p>
      <w:pPr>
        <w:pStyle w:val="Heading1"/>
      </w:pPr>
      <w:r>
        <w:t xml:space="preserve">Success Metrics and Expected Outcomes</w:t>
      </w:r>
    </w:p>
    <w:p>
      <w:pPr>
        <w:spacing w:after="100"/>
      </w:pPr>
      <w:r>
        <w:rPr>
          <w:b/>
          <w:bCs/>
        </w:rPr>
        <w:t xml:space="preserve">By March 2025, the successful implementation of this strategic action plan will result in:</w:t>
      </w:r>
    </w:p>
    <w:p>
      <w:pPr>
        <w:pStyle w:val="ListParagraph"/>
        <w:numPr>
          <w:ilvl w:val="0"/>
          <w:numId w:val="2"/>
        </w:numPr>
      </w:pPr>
      <w:r>
        <w:t xml:space="preserve">Complete NBA readiness with documented evidence and self-assessment report</w:t>
      </w:r>
    </w:p>
    <w:p>
      <w:pPr>
        <w:pStyle w:val="ListParagraph"/>
        <w:numPr>
          <w:ilvl w:val="0"/>
          <w:numId w:val="2"/>
        </w:numPr>
      </w:pPr>
      <w:r>
        <w:t xml:space="preserve">Identified international accreditation pathway with preliminary documentation</w:t>
      </w:r>
    </w:p>
    <w:p>
      <w:pPr>
        <w:pStyle w:val="ListParagraph"/>
        <w:numPr>
          <w:ilvl w:val="0"/>
          <w:numId w:val="2"/>
        </w:numPr>
      </w:pPr>
      <w:r>
        <w:t xml:space="preserve">Enhanced infrastructure capable of supporting 60 additional students</w:t>
      </w:r>
    </w:p>
    <w:p>
      <w:pPr>
        <w:pStyle w:val="ListParagraph"/>
        <w:numPr>
          <w:ilvl w:val="0"/>
          <w:numId w:val="2"/>
        </w:numPr>
      </w:pPr>
      <w:r>
        <w:t xml:space="preserve">Approved Evening Executive MBA curriculum ready for regulatory submission</w:t>
      </w:r>
    </w:p>
    <w:p>
      <w:pPr>
        <w:pStyle w:val="ListParagraph"/>
        <w:numPr>
          <w:ilvl w:val="0"/>
          <w:numId w:val="2"/>
        </w:numPr>
      </w:pPr>
      <w:r>
        <w:t xml:space="preserve">At least 2-3 certification programs operational with enrolled participants</w:t>
      </w:r>
    </w:p>
    <w:p>
      <w:pPr>
        <w:pStyle w:val="ListParagraph"/>
        <w:numPr>
          <w:ilvl w:val="0"/>
          <w:numId w:val="2"/>
        </w:numPr>
      </w:pPr>
      <w:r>
        <w:t xml:space="preserve">Operational PhD program with first cohort of scholars admitted</w:t>
      </w:r>
    </w:p>
    <w:p>
      <w:pPr>
        <w:pStyle w:val="ListParagraph"/>
        <w:numPr>
          <w:ilvl w:val="0"/>
          <w:numId w:val="2"/>
        </w:numPr>
        <w:spacing w:after="200"/>
      </w:pPr>
      <w:r>
        <w:t xml:space="preserve">Established monitoring framework ensuring accountability and continuous improvement</w:t>
      </w:r>
    </w:p>
    <w:p>
      <w:pPr>
        <w:spacing w:before="200" w:after="0"/>
        <w:jc w:val="center"/>
      </w:pPr>
      <w:r>
        <w:rPr>
          <w:i/>
          <w:iCs/>
          <w:sz w:val="20"/>
          <w:szCs w:val="20"/>
        </w:rPr>
        <w:t xml:space="preserve">This strategic action plan represents RVIM's commitment to excellence, innovation, and</w:t>
      </w:r>
    </w:p>
    <w:p>
      <w:pPr>
        <w:jc w:val="center"/>
      </w:pPr>
      <w:r>
        <w:rPr>
          <w:i/>
          <w:iCs/>
          <w:sz w:val="20"/>
          <w:szCs w:val="20"/>
        </w:rPr>
        <w:t xml:space="preserve">continuous quality enhancement in management education.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00"/>
      <w:outlineLvl w:val="0"/>
    </w:pPr>
    <w:rPr>
      <w:rFonts w:ascii="Arial" w:cs="Arial" w:eastAsia="Arial" w:hAnsi="Arial"/>
      <w:b/>
      <w:bCs/>
      <w:color w:val="1F4788"/>
      <w:sz w:val="32"/>
      <w:szCs w:val="32"/>
    </w:rPr>
  </w:style>
  <w:style w:type="paragraph" w:styleId="Heading2">
    <w:name w:val="Heading 2"/>
    <w:basedOn w:val="Normal"/>
    <w:next w:val="Normal"/>
    <w:qFormat/>
    <w:pPr>
      <w:spacing w:before="180" w:after="140"/>
      <w:outlineLvl w:val="1"/>
    </w:pPr>
    <w:rPr>
      <w:rFonts w:ascii="Arial" w:cs="Arial" w:eastAsia="Arial" w:hAnsi="Arial"/>
      <w:b/>
      <w:bCs/>
      <w:color w:val="2E5C9A"/>
      <w:sz w:val="26"/>
      <w:szCs w:val="26"/>
    </w:rPr>
  </w:style>
  <w:style w:type="paragraph" w:styleId="Heading3">
    <w:name w:val="Heading 3"/>
    <w:basedOn w:val="Normal"/>
    <w:next w:val="Normal"/>
    <w:qFormat/>
    <w:pPr>
      <w:spacing w:before="140" w:after="100"/>
      <w:outlineLvl w:val="2"/>
    </w:pPr>
    <w:rPr>
      <w:rFonts w:ascii="Arial" w:cs="Arial" w:eastAsia="Arial" w:hAnsi="Arial"/>
      <w:b/>
      <w:bCs/>
      <w:color w:val="4A4A4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2026-02-03T08:02:26.196Z</dcterms:created>
  <dcterms:modified xsi:type="dcterms:W3CDTF">2026-02-03T08:02:26.197Z</dcterms:modified>
</cp:coreProperties>
</file>

<file path=docProps/custom.xml><?xml version="1.0" encoding="utf-8"?>
<Properties xmlns="http://schemas.openxmlformats.org/officeDocument/2006/custom-properties" xmlns:vt="http://schemas.openxmlformats.org/officeDocument/2006/docPropsVTypes"/>
</file>